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D2" w:rsidRPr="00876BD2" w:rsidRDefault="00876BD2" w:rsidP="00876BD2">
      <w:pPr>
        <w:keepNext/>
        <w:tabs>
          <w:tab w:val="clear" w:pos="360"/>
          <w:tab w:val="clear" w:pos="720"/>
          <w:tab w:val="clear" w:pos="990"/>
        </w:tabs>
        <w:autoSpaceDE w:val="0"/>
        <w:autoSpaceDN w:val="0"/>
        <w:adjustRightInd w:val="0"/>
        <w:spacing w:before="0" w:after="240" w:line="240" w:lineRule="auto"/>
        <w:ind w:left="0"/>
        <w:jc w:val="center"/>
        <w:outlineLvl w:val="5"/>
        <w:rPr>
          <w:rFonts w:eastAsia="Times New Roman" w:cs="Arial"/>
          <w:color w:val="009C76"/>
          <w:sz w:val="48"/>
          <w:szCs w:val="48"/>
        </w:rPr>
      </w:pPr>
      <w:r w:rsidRPr="00876BD2">
        <w:rPr>
          <w:rFonts w:eastAsia="Times New Roman" w:cs="Arial"/>
          <w:color w:val="009C76"/>
          <w:sz w:val="48"/>
          <w:szCs w:val="48"/>
        </w:rPr>
        <w:t>U.K. TAX 20</w:t>
      </w:r>
      <w:r w:rsidR="008E705E">
        <w:rPr>
          <w:rFonts w:eastAsia="Times New Roman" w:cs="Arial"/>
          <w:color w:val="009C76"/>
          <w:sz w:val="48"/>
          <w:szCs w:val="48"/>
        </w:rPr>
        <w:t>1</w:t>
      </w:r>
      <w:r w:rsidR="00F52524">
        <w:rPr>
          <w:rFonts w:eastAsia="Times New Roman" w:cs="Arial"/>
          <w:color w:val="009C76"/>
          <w:sz w:val="48"/>
          <w:szCs w:val="48"/>
        </w:rPr>
        <w:t>8</w:t>
      </w:r>
      <w:r w:rsidRPr="00876BD2">
        <w:rPr>
          <w:rFonts w:eastAsia="Times New Roman" w:cs="Arial"/>
          <w:color w:val="009C76"/>
          <w:sz w:val="48"/>
          <w:szCs w:val="48"/>
        </w:rPr>
        <w:t>/20</w:t>
      </w:r>
      <w:r w:rsidR="008E705E">
        <w:rPr>
          <w:rFonts w:eastAsia="Times New Roman" w:cs="Arial"/>
          <w:color w:val="009C76"/>
          <w:sz w:val="48"/>
          <w:szCs w:val="48"/>
        </w:rPr>
        <w:t>1</w:t>
      </w:r>
      <w:r w:rsidR="00F52524">
        <w:rPr>
          <w:rFonts w:eastAsia="Times New Roman" w:cs="Arial"/>
          <w:color w:val="009C76"/>
          <w:sz w:val="48"/>
          <w:szCs w:val="48"/>
        </w:rPr>
        <w:t>9</w:t>
      </w:r>
      <w:bookmarkStart w:id="0" w:name="_GoBack"/>
      <w:bookmarkEnd w:id="0"/>
    </w:p>
    <w:p w:rsidR="00876BD2" w:rsidRPr="00876BD2" w:rsidRDefault="00876BD2" w:rsidP="00876BD2">
      <w:pPr>
        <w:tabs>
          <w:tab w:val="clear" w:pos="360"/>
          <w:tab w:val="clear" w:pos="720"/>
          <w:tab w:val="clear" w:pos="990"/>
        </w:tabs>
        <w:spacing w:before="0" w:after="240" w:line="240" w:lineRule="auto"/>
        <w:ind w:left="0"/>
        <w:jc w:val="both"/>
        <w:rPr>
          <w:rFonts w:eastAsia="Times New Roman" w:cs="Times New Roman"/>
          <w:sz w:val="22"/>
        </w:rPr>
      </w:pPr>
      <w:r w:rsidRPr="00876BD2">
        <w:rPr>
          <w:rFonts w:eastAsia="Times New Roman" w:cs="Times New Roman"/>
          <w:sz w:val="22"/>
        </w:rPr>
        <w:t>This section applies to the whole of the UK</w:t>
      </w:r>
    </w:p>
    <w:p w:rsidR="00876BD2" w:rsidRPr="00876BD2" w:rsidRDefault="00876BD2" w:rsidP="00876BD2">
      <w:pPr>
        <w:keepNext/>
        <w:tabs>
          <w:tab w:val="clear" w:pos="360"/>
          <w:tab w:val="clear" w:pos="720"/>
          <w:tab w:val="clear" w:pos="990"/>
        </w:tabs>
        <w:spacing w:before="0" w:after="240" w:line="240" w:lineRule="auto"/>
        <w:ind w:left="0"/>
        <w:jc w:val="both"/>
        <w:outlineLvl w:val="1"/>
        <w:rPr>
          <w:rFonts w:eastAsia="Times New Roman" w:cs="Arial"/>
          <w:b/>
          <w:bCs/>
          <w:sz w:val="28"/>
          <w:szCs w:val="28"/>
        </w:rPr>
      </w:pPr>
      <w:r w:rsidRPr="00876BD2">
        <w:rPr>
          <w:rFonts w:eastAsia="Times New Roman" w:cs="Arial"/>
          <w:b/>
          <w:bCs/>
          <w:sz w:val="28"/>
          <w:szCs w:val="28"/>
        </w:rPr>
        <w:t>Summary</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szCs w:val="24"/>
          <w:lang w:val="en-US"/>
        </w:rPr>
      </w:pPr>
      <w:r w:rsidRPr="00876BD2">
        <w:rPr>
          <w:rFonts w:eastAsia="Times New Roman" w:cs="Arial"/>
          <w:sz w:val="22"/>
          <w:szCs w:val="24"/>
          <w:lang w:val="en-US"/>
        </w:rPr>
        <w:t xml:space="preserve">Despite significant tax changes over the last few years, the UK still remains a </w:t>
      </w:r>
      <w:proofErr w:type="spellStart"/>
      <w:r w:rsidRPr="00876BD2">
        <w:rPr>
          <w:rFonts w:eastAsia="Times New Roman" w:cs="Arial"/>
          <w:sz w:val="22"/>
          <w:szCs w:val="24"/>
          <w:lang w:val="en-US"/>
        </w:rPr>
        <w:t>favourable</w:t>
      </w:r>
      <w:proofErr w:type="spellEnd"/>
      <w:r w:rsidRPr="00876BD2">
        <w:rPr>
          <w:rFonts w:eastAsia="Times New Roman" w:cs="Arial"/>
          <w:sz w:val="22"/>
          <w:szCs w:val="24"/>
          <w:lang w:val="en-US"/>
        </w:rPr>
        <w:t xml:space="preserve"> destination both to live and do business.  Capital gains tax remains at </w:t>
      </w:r>
      <w:r w:rsidR="008E705E">
        <w:rPr>
          <w:rFonts w:eastAsia="Times New Roman" w:cs="Arial"/>
          <w:sz w:val="22"/>
          <w:szCs w:val="24"/>
          <w:lang w:val="en-US"/>
        </w:rPr>
        <w:t>10</w:t>
      </w:r>
      <w:r w:rsidRPr="00876BD2">
        <w:rPr>
          <w:rFonts w:eastAsia="Times New Roman" w:cs="Arial"/>
          <w:sz w:val="22"/>
          <w:szCs w:val="24"/>
          <w:lang w:val="en-US"/>
        </w:rPr>
        <w:t>%/</w:t>
      </w:r>
      <w:r w:rsidR="00F52524">
        <w:rPr>
          <w:rFonts w:eastAsia="Times New Roman" w:cs="Arial"/>
          <w:sz w:val="22"/>
          <w:szCs w:val="24"/>
          <w:lang w:val="en-US"/>
        </w:rPr>
        <w:t>20</w:t>
      </w:r>
      <w:r w:rsidRPr="00876BD2">
        <w:rPr>
          <w:rFonts w:eastAsia="Times New Roman" w:cs="Arial"/>
          <w:sz w:val="22"/>
          <w:szCs w:val="24"/>
          <w:lang w:val="en-US"/>
        </w:rPr>
        <w:t>%</w:t>
      </w:r>
      <w:r w:rsidR="00F52524">
        <w:rPr>
          <w:rFonts w:eastAsia="Times New Roman" w:cs="Arial"/>
          <w:sz w:val="22"/>
          <w:szCs w:val="24"/>
          <w:lang w:val="en-US"/>
        </w:rPr>
        <w:t xml:space="preserve"> (18/28% in respect of land)</w:t>
      </w:r>
      <w:r w:rsidRPr="00876BD2">
        <w:rPr>
          <w:rFonts w:eastAsia="Times New Roman" w:cs="Arial"/>
          <w:sz w:val="22"/>
          <w:szCs w:val="24"/>
          <w:lang w:val="en-US"/>
        </w:rPr>
        <w:t xml:space="preserve"> depending on other gross income with Entrepreneurs Relief reducing this still further in certain circumstances.  With careful tax planning companies and individuals can still profit from UK’s </w:t>
      </w:r>
      <w:proofErr w:type="spellStart"/>
      <w:r w:rsidRPr="00876BD2">
        <w:rPr>
          <w:rFonts w:eastAsia="Times New Roman" w:cs="Arial"/>
          <w:sz w:val="22"/>
          <w:szCs w:val="24"/>
          <w:lang w:val="en-US"/>
        </w:rPr>
        <w:t>longterm</w:t>
      </w:r>
      <w:proofErr w:type="spellEnd"/>
      <w:r w:rsidRPr="00876BD2">
        <w:rPr>
          <w:rFonts w:eastAsia="Times New Roman" w:cs="Arial"/>
          <w:sz w:val="22"/>
          <w:szCs w:val="24"/>
          <w:lang w:val="en-US"/>
        </w:rPr>
        <w:t xml:space="preserve"> stability and position as one of the leading financial </w:t>
      </w:r>
      <w:proofErr w:type="spellStart"/>
      <w:r w:rsidRPr="00876BD2">
        <w:rPr>
          <w:rFonts w:eastAsia="Times New Roman" w:cs="Arial"/>
          <w:sz w:val="22"/>
          <w:szCs w:val="24"/>
          <w:lang w:val="en-US"/>
        </w:rPr>
        <w:t>centres</w:t>
      </w:r>
      <w:proofErr w:type="spellEnd"/>
      <w:r w:rsidRPr="00876BD2">
        <w:rPr>
          <w:rFonts w:eastAsia="Times New Roman" w:cs="Arial"/>
          <w:sz w:val="22"/>
          <w:szCs w:val="24"/>
          <w:lang w:val="en-US"/>
        </w:rPr>
        <w:t>.</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rPr>
      </w:pPr>
    </w:p>
    <w:p w:rsidR="00876BD2" w:rsidRPr="00876BD2" w:rsidRDefault="00876BD2" w:rsidP="00876BD2">
      <w:pPr>
        <w:keepNext/>
        <w:tabs>
          <w:tab w:val="clear" w:pos="360"/>
          <w:tab w:val="clear" w:pos="720"/>
          <w:tab w:val="clear" w:pos="990"/>
        </w:tabs>
        <w:spacing w:before="0" w:after="240" w:line="240" w:lineRule="auto"/>
        <w:ind w:left="0"/>
        <w:jc w:val="both"/>
        <w:outlineLvl w:val="1"/>
        <w:rPr>
          <w:rFonts w:eastAsia="Times New Roman" w:cs="Arial"/>
          <w:b/>
          <w:bCs/>
          <w:sz w:val="28"/>
          <w:szCs w:val="28"/>
        </w:rPr>
      </w:pPr>
      <w:r w:rsidRPr="00876BD2">
        <w:rPr>
          <w:rFonts w:eastAsia="Times New Roman" w:cs="Arial"/>
          <w:b/>
          <w:bCs/>
          <w:sz w:val="28"/>
          <w:szCs w:val="28"/>
        </w:rPr>
        <w:t>Companies</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szCs w:val="24"/>
          <w:lang w:val="en-US"/>
        </w:rPr>
      </w:pPr>
      <w:r w:rsidRPr="00876BD2">
        <w:rPr>
          <w:rFonts w:eastAsia="Times New Roman" w:cs="Arial"/>
          <w:bCs/>
          <w:sz w:val="22"/>
          <w:szCs w:val="24"/>
          <w:lang w:val="en-US"/>
        </w:rPr>
        <w:t>Companies tax resident in UK are liable to pay UK corporation tax on total profits arising.  Companies not tax resident in the UK are only liable to corporation tax profits on profits generated by UK branch or agency.</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A company is tax resident in England, if it is an English incorporated company or if it is managed and controlled in England.</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 xml:space="preserve">The standard rate of corporation tax in England is </w:t>
      </w:r>
      <w:r w:rsidR="00F52524">
        <w:rPr>
          <w:rFonts w:eastAsia="Times New Roman" w:cs="Arial"/>
          <w:bCs/>
          <w:sz w:val="22"/>
        </w:rPr>
        <w:t>19</w:t>
      </w:r>
      <w:r w:rsidRPr="00876BD2">
        <w:rPr>
          <w:rFonts w:eastAsia="Times New Roman" w:cs="Arial"/>
          <w:bCs/>
          <w:sz w:val="22"/>
        </w:rPr>
        <w:t>%</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rPr>
      </w:pPr>
      <w:r w:rsidRPr="00876BD2">
        <w:rPr>
          <w:rFonts w:eastAsia="Times New Roman" w:cs="Arial"/>
          <w:b/>
          <w:bCs/>
          <w:sz w:val="28"/>
        </w:rPr>
        <w:t>Value Added Tax</w:t>
      </w:r>
      <w:r w:rsidRPr="00876BD2">
        <w:rPr>
          <w:rFonts w:eastAsia="Times New Roman" w:cs="Arial"/>
          <w:sz w:val="24"/>
        </w:rPr>
        <w:t xml:space="preserve"> </w:t>
      </w:r>
      <w:r w:rsidRPr="00876BD2">
        <w:rPr>
          <w:rFonts w:eastAsia="Times New Roman" w:cs="Arial"/>
          <w:sz w:val="22"/>
        </w:rPr>
        <w:t>(generally)</w:t>
      </w:r>
      <w:r w:rsidRPr="00876BD2">
        <w:rPr>
          <w:rFonts w:eastAsia="Times New Roman" w:cs="Arial"/>
          <w:sz w:val="22"/>
        </w:rPr>
        <w:tab/>
      </w:r>
      <w:r w:rsidRPr="00876BD2">
        <w:rPr>
          <w:rFonts w:eastAsia="Times New Roman" w:cs="Arial"/>
          <w:sz w:val="22"/>
        </w:rPr>
        <w:tab/>
      </w:r>
      <w:r w:rsidR="00177E90">
        <w:rPr>
          <w:rFonts w:eastAsia="Times New Roman" w:cs="Arial"/>
          <w:sz w:val="22"/>
        </w:rPr>
        <w:t xml:space="preserve">         </w:t>
      </w:r>
      <w:r w:rsidRPr="00876BD2">
        <w:rPr>
          <w:rFonts w:eastAsia="Times New Roman" w:cs="Arial"/>
          <w:sz w:val="22"/>
        </w:rPr>
        <w:t>20%</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4"/>
        </w:rPr>
      </w:pPr>
    </w:p>
    <w:p w:rsidR="00876BD2" w:rsidRPr="00876BD2" w:rsidRDefault="00876BD2" w:rsidP="00876BD2">
      <w:pPr>
        <w:keepNext/>
        <w:tabs>
          <w:tab w:val="clear" w:pos="360"/>
          <w:tab w:val="clear" w:pos="720"/>
          <w:tab w:val="clear" w:pos="990"/>
        </w:tabs>
        <w:spacing w:before="0" w:after="240" w:line="240" w:lineRule="auto"/>
        <w:ind w:left="0"/>
        <w:jc w:val="both"/>
        <w:outlineLvl w:val="1"/>
        <w:rPr>
          <w:rFonts w:eastAsia="Times New Roman" w:cs="Arial"/>
          <w:b/>
          <w:bCs/>
          <w:sz w:val="28"/>
          <w:szCs w:val="28"/>
        </w:rPr>
      </w:pPr>
      <w:r w:rsidRPr="00876BD2">
        <w:rPr>
          <w:rFonts w:eastAsia="Times New Roman" w:cs="Arial"/>
          <w:b/>
          <w:bCs/>
          <w:sz w:val="28"/>
          <w:szCs w:val="28"/>
        </w:rPr>
        <w:t>Stamp Duty – on land transactions</w:t>
      </w:r>
      <w:r w:rsidR="009356EC">
        <w:rPr>
          <w:rFonts w:eastAsia="Times New Roman" w:cs="Arial"/>
          <w:b/>
          <w:bCs/>
          <w:sz w:val="28"/>
          <w:szCs w:val="28"/>
        </w:rPr>
        <w:t xml:space="preserve"> – England &amp; Wales</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szCs w:val="24"/>
        </w:rPr>
      </w:pPr>
      <w:r w:rsidRPr="00876BD2">
        <w:rPr>
          <w:rFonts w:eastAsia="Times New Roman" w:cs="Arial"/>
          <w:sz w:val="22"/>
          <w:szCs w:val="24"/>
        </w:rPr>
        <w:t xml:space="preserve">For a commercial property </w:t>
      </w:r>
      <w:r w:rsidR="00D81ED4">
        <w:rPr>
          <w:rFonts w:eastAsia="Times New Roman" w:cs="Arial"/>
          <w:sz w:val="22"/>
          <w:szCs w:val="24"/>
        </w:rPr>
        <w:t xml:space="preserve">this </w:t>
      </w:r>
      <w:r w:rsidRPr="00876BD2">
        <w:rPr>
          <w:rFonts w:eastAsia="Times New Roman" w:cs="Arial"/>
          <w:sz w:val="22"/>
          <w:szCs w:val="24"/>
        </w:rPr>
        <w:t>is a percentage payable depending on the value of the transaction and is payable on the whole of the purchase price and may be summarised as follows:</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szCs w:val="24"/>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b/>
          <w:bCs/>
          <w:sz w:val="22"/>
          <w:szCs w:val="24"/>
        </w:rPr>
      </w:pPr>
      <w:r w:rsidRPr="00876BD2">
        <w:rPr>
          <w:rFonts w:eastAsia="Times New Roman" w:cs="Arial"/>
          <w:b/>
          <w:bCs/>
          <w:sz w:val="22"/>
          <w:szCs w:val="24"/>
        </w:rPr>
        <w:t>Rate</w:t>
      </w:r>
      <w:r w:rsidRPr="00876BD2">
        <w:rPr>
          <w:rFonts w:eastAsia="Times New Roman" w:cs="Arial"/>
          <w:sz w:val="22"/>
          <w:szCs w:val="24"/>
        </w:rPr>
        <w:tab/>
      </w:r>
      <w:r w:rsidRPr="00876BD2">
        <w:rPr>
          <w:rFonts w:eastAsia="Times New Roman" w:cs="Arial"/>
          <w:sz w:val="22"/>
          <w:szCs w:val="24"/>
        </w:rPr>
        <w:tab/>
      </w:r>
      <w:r w:rsidRPr="00876BD2">
        <w:rPr>
          <w:rFonts w:eastAsia="Times New Roman" w:cs="Arial"/>
          <w:sz w:val="22"/>
          <w:szCs w:val="24"/>
        </w:rPr>
        <w:tab/>
      </w:r>
      <w:r w:rsidRPr="00876BD2">
        <w:rPr>
          <w:rFonts w:eastAsia="Times New Roman" w:cs="Arial"/>
          <w:b/>
          <w:bCs/>
          <w:sz w:val="22"/>
          <w:szCs w:val="24"/>
        </w:rPr>
        <w:t>Commercial Property</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szCs w:val="24"/>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szCs w:val="24"/>
        </w:rPr>
      </w:pPr>
      <w:r w:rsidRPr="00876BD2">
        <w:rPr>
          <w:rFonts w:eastAsia="Times New Roman" w:cs="Arial"/>
          <w:sz w:val="22"/>
          <w:szCs w:val="24"/>
        </w:rPr>
        <w:t>Zero</w:t>
      </w:r>
      <w:r w:rsidRPr="00876BD2">
        <w:rPr>
          <w:rFonts w:eastAsia="Times New Roman" w:cs="Arial"/>
          <w:sz w:val="22"/>
          <w:szCs w:val="24"/>
        </w:rPr>
        <w:tab/>
      </w:r>
      <w:r w:rsidRPr="00876BD2">
        <w:rPr>
          <w:rFonts w:eastAsia="Times New Roman" w:cs="Arial"/>
          <w:sz w:val="22"/>
          <w:szCs w:val="24"/>
        </w:rPr>
        <w:tab/>
      </w:r>
      <w:r w:rsidRPr="00876BD2">
        <w:rPr>
          <w:rFonts w:eastAsia="Times New Roman" w:cs="Arial"/>
          <w:sz w:val="22"/>
          <w:szCs w:val="24"/>
        </w:rPr>
        <w:tab/>
        <w:t>£0 - £150,000</w:t>
      </w:r>
    </w:p>
    <w:p w:rsidR="00876BD2" w:rsidRPr="00876BD2" w:rsidRDefault="00166811"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2</w:t>
      </w:r>
      <w:r w:rsidR="00876BD2" w:rsidRPr="00876BD2">
        <w:rPr>
          <w:rFonts w:eastAsia="Times New Roman" w:cs="Arial"/>
          <w:sz w:val="22"/>
          <w:szCs w:val="24"/>
        </w:rPr>
        <w:t>%</w:t>
      </w:r>
      <w:r w:rsidR="00876BD2" w:rsidRPr="00876BD2">
        <w:rPr>
          <w:rFonts w:eastAsia="Times New Roman" w:cs="Arial"/>
          <w:sz w:val="22"/>
          <w:szCs w:val="24"/>
        </w:rPr>
        <w:tab/>
      </w:r>
      <w:r w:rsidR="00876BD2" w:rsidRPr="00876BD2">
        <w:rPr>
          <w:rFonts w:eastAsia="Times New Roman" w:cs="Arial"/>
          <w:sz w:val="22"/>
          <w:szCs w:val="24"/>
        </w:rPr>
        <w:tab/>
      </w:r>
      <w:r w:rsidR="00876BD2" w:rsidRPr="00876BD2">
        <w:rPr>
          <w:rFonts w:eastAsia="Times New Roman" w:cs="Arial"/>
          <w:sz w:val="22"/>
          <w:szCs w:val="24"/>
        </w:rPr>
        <w:tab/>
        <w:t>£150,001 - £250,000</w:t>
      </w:r>
    </w:p>
    <w:p w:rsidR="00876BD2" w:rsidRPr="00876BD2" w:rsidRDefault="00166811"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5</w:t>
      </w:r>
      <w:r w:rsidR="00876BD2" w:rsidRPr="00876BD2">
        <w:rPr>
          <w:rFonts w:eastAsia="Times New Roman" w:cs="Arial"/>
          <w:sz w:val="22"/>
          <w:szCs w:val="24"/>
        </w:rPr>
        <w:t>%</w:t>
      </w:r>
      <w:r w:rsidR="00876BD2" w:rsidRPr="00876BD2">
        <w:rPr>
          <w:rFonts w:eastAsia="Times New Roman" w:cs="Arial"/>
          <w:sz w:val="22"/>
          <w:szCs w:val="24"/>
        </w:rPr>
        <w:tab/>
      </w:r>
      <w:r w:rsidR="00876BD2" w:rsidRPr="00876BD2">
        <w:rPr>
          <w:rFonts w:eastAsia="Times New Roman" w:cs="Arial"/>
          <w:sz w:val="22"/>
          <w:szCs w:val="24"/>
        </w:rPr>
        <w:tab/>
      </w:r>
      <w:r w:rsidR="00876BD2" w:rsidRPr="00876BD2">
        <w:rPr>
          <w:rFonts w:eastAsia="Times New Roman" w:cs="Arial"/>
          <w:sz w:val="22"/>
          <w:szCs w:val="24"/>
        </w:rPr>
        <w:tab/>
        <w:t xml:space="preserve">£250,001 </w:t>
      </w:r>
      <w:r>
        <w:rPr>
          <w:rFonts w:eastAsia="Times New Roman" w:cs="Arial"/>
          <w:sz w:val="22"/>
          <w:szCs w:val="24"/>
        </w:rPr>
        <w:t>or over</w:t>
      </w:r>
    </w:p>
    <w:p w:rsidR="00B0123C" w:rsidRDefault="00B0123C" w:rsidP="00876BD2">
      <w:pPr>
        <w:tabs>
          <w:tab w:val="clear" w:pos="360"/>
          <w:tab w:val="clear" w:pos="720"/>
          <w:tab w:val="clear" w:pos="990"/>
        </w:tabs>
        <w:spacing w:before="0" w:line="240" w:lineRule="auto"/>
        <w:ind w:left="0"/>
        <w:jc w:val="both"/>
        <w:rPr>
          <w:rFonts w:eastAsia="Times New Roman" w:cs="Arial"/>
          <w:sz w:val="22"/>
          <w:szCs w:val="24"/>
        </w:rPr>
      </w:pPr>
    </w:p>
    <w:p w:rsidR="00876BD2" w:rsidRDefault="00876BD2" w:rsidP="00876BD2">
      <w:pPr>
        <w:tabs>
          <w:tab w:val="clear" w:pos="360"/>
          <w:tab w:val="clear" w:pos="720"/>
          <w:tab w:val="clear" w:pos="990"/>
        </w:tabs>
        <w:spacing w:before="0" w:line="240" w:lineRule="auto"/>
        <w:ind w:left="0"/>
        <w:jc w:val="both"/>
        <w:rPr>
          <w:rFonts w:eastAsia="Times New Roman" w:cs="Arial"/>
          <w:sz w:val="22"/>
          <w:szCs w:val="24"/>
        </w:rPr>
      </w:pPr>
      <w:r w:rsidRPr="00876BD2">
        <w:rPr>
          <w:rFonts w:eastAsia="Times New Roman" w:cs="Arial"/>
          <w:sz w:val="22"/>
          <w:szCs w:val="24"/>
        </w:rPr>
        <w:t xml:space="preserve">For </w:t>
      </w:r>
      <w:r w:rsidR="00D81ED4">
        <w:rPr>
          <w:rFonts w:eastAsia="Times New Roman" w:cs="Arial"/>
          <w:sz w:val="22"/>
          <w:szCs w:val="24"/>
        </w:rPr>
        <w:t xml:space="preserve">freehold residential </w:t>
      </w:r>
      <w:r w:rsidRPr="00876BD2">
        <w:rPr>
          <w:rFonts w:eastAsia="Times New Roman" w:cs="Arial"/>
          <w:sz w:val="22"/>
          <w:szCs w:val="24"/>
        </w:rPr>
        <w:t xml:space="preserve">properties </w:t>
      </w:r>
      <w:r w:rsidR="00D81ED4">
        <w:rPr>
          <w:rFonts w:eastAsia="Times New Roman" w:cs="Arial"/>
          <w:sz w:val="22"/>
          <w:szCs w:val="24"/>
        </w:rPr>
        <w:t xml:space="preserve">and </w:t>
      </w:r>
      <w:r w:rsidR="009356EC">
        <w:rPr>
          <w:rFonts w:eastAsia="Times New Roman" w:cs="Arial"/>
          <w:sz w:val="22"/>
          <w:szCs w:val="24"/>
        </w:rPr>
        <w:t>second-hand</w:t>
      </w:r>
      <w:r w:rsidR="00D81ED4">
        <w:rPr>
          <w:rFonts w:eastAsia="Times New Roman" w:cs="Arial"/>
          <w:sz w:val="22"/>
          <w:szCs w:val="24"/>
        </w:rPr>
        <w:t xml:space="preserve"> leasehold residential properties, </w:t>
      </w:r>
      <w:r w:rsidRPr="00876BD2">
        <w:rPr>
          <w:rFonts w:eastAsia="Times New Roman" w:cs="Arial"/>
          <w:sz w:val="22"/>
          <w:szCs w:val="24"/>
        </w:rPr>
        <w:t>the rates vary from band to band in accordance with the following scale so that the amounts due for each band are added together to arrive at the total payable</w:t>
      </w:r>
      <w:r w:rsidR="005254A4">
        <w:rPr>
          <w:rFonts w:eastAsia="Times New Roman" w:cs="Arial"/>
          <w:sz w:val="22"/>
          <w:szCs w:val="24"/>
        </w:rPr>
        <w:t xml:space="preserve">; a 3% surcharge </w:t>
      </w:r>
      <w:r w:rsidR="00AE0342">
        <w:rPr>
          <w:rFonts w:eastAsia="Times New Roman" w:cs="Arial"/>
          <w:sz w:val="22"/>
          <w:szCs w:val="24"/>
        </w:rPr>
        <w:t>i</w:t>
      </w:r>
      <w:r w:rsidR="005254A4">
        <w:rPr>
          <w:rFonts w:eastAsia="Times New Roman" w:cs="Arial"/>
          <w:sz w:val="22"/>
          <w:szCs w:val="24"/>
        </w:rPr>
        <w:t>s applied in cases where the buyer already owns a property anywhere in the world.  The rates are as follows</w:t>
      </w:r>
      <w:r w:rsidRPr="00876BD2">
        <w:rPr>
          <w:rFonts w:eastAsia="Times New Roman" w:cs="Arial"/>
          <w:sz w:val="22"/>
          <w:szCs w:val="24"/>
        </w:rPr>
        <w:t>:</w:t>
      </w:r>
    </w:p>
    <w:p w:rsidR="00B0123C" w:rsidRDefault="00B0123C" w:rsidP="00876BD2">
      <w:pPr>
        <w:tabs>
          <w:tab w:val="clear" w:pos="360"/>
          <w:tab w:val="clear" w:pos="720"/>
          <w:tab w:val="clear" w:pos="990"/>
        </w:tabs>
        <w:spacing w:before="0" w:line="240" w:lineRule="auto"/>
        <w:ind w:left="0"/>
        <w:jc w:val="both"/>
        <w:rPr>
          <w:rFonts w:eastAsia="Times New Roman"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3168"/>
        <w:gridCol w:w="3811"/>
      </w:tblGrid>
      <w:tr w:rsidR="00E620D7" w:rsidTr="00AD0837">
        <w:tc>
          <w:tcPr>
            <w:tcW w:w="1638" w:type="dxa"/>
          </w:tcPr>
          <w:p w:rsidR="00E620D7" w:rsidRPr="005F1E13" w:rsidRDefault="00E620D7" w:rsidP="00876BD2">
            <w:pPr>
              <w:tabs>
                <w:tab w:val="clear" w:pos="360"/>
                <w:tab w:val="clear" w:pos="720"/>
                <w:tab w:val="clear" w:pos="990"/>
              </w:tabs>
              <w:spacing w:before="0" w:line="240" w:lineRule="auto"/>
              <w:ind w:left="0"/>
              <w:jc w:val="both"/>
              <w:rPr>
                <w:rFonts w:eastAsia="Times New Roman" w:cs="Arial"/>
                <w:b/>
                <w:sz w:val="22"/>
                <w:szCs w:val="24"/>
              </w:rPr>
            </w:pPr>
            <w:r>
              <w:rPr>
                <w:rFonts w:eastAsia="Times New Roman" w:cs="Arial"/>
                <w:b/>
                <w:sz w:val="22"/>
                <w:szCs w:val="24"/>
              </w:rPr>
              <w:t>Rate</w:t>
            </w:r>
          </w:p>
        </w:tc>
        <w:tc>
          <w:tcPr>
            <w:tcW w:w="3240" w:type="dxa"/>
          </w:tcPr>
          <w:p w:rsidR="00E620D7" w:rsidRPr="005F1E13" w:rsidRDefault="00E620D7" w:rsidP="00876BD2">
            <w:pPr>
              <w:tabs>
                <w:tab w:val="clear" w:pos="360"/>
                <w:tab w:val="clear" w:pos="720"/>
                <w:tab w:val="clear" w:pos="990"/>
              </w:tabs>
              <w:spacing w:before="0" w:line="240" w:lineRule="auto"/>
              <w:ind w:left="0"/>
              <w:jc w:val="both"/>
              <w:rPr>
                <w:rFonts w:eastAsia="Times New Roman" w:cs="Arial"/>
                <w:b/>
                <w:sz w:val="22"/>
                <w:szCs w:val="24"/>
              </w:rPr>
            </w:pPr>
            <w:r w:rsidRPr="005F1E13">
              <w:rPr>
                <w:rFonts w:eastAsia="Times New Roman" w:cs="Arial"/>
                <w:b/>
                <w:sz w:val="22"/>
                <w:szCs w:val="24"/>
              </w:rPr>
              <w:t>Residential Property</w:t>
            </w:r>
          </w:p>
        </w:tc>
        <w:tc>
          <w:tcPr>
            <w:tcW w:w="3914" w:type="dxa"/>
          </w:tcPr>
          <w:p w:rsidR="00E620D7" w:rsidRPr="005F1E13" w:rsidRDefault="00E620D7" w:rsidP="00AD0837">
            <w:pPr>
              <w:tabs>
                <w:tab w:val="clear" w:pos="360"/>
                <w:tab w:val="clear" w:pos="720"/>
                <w:tab w:val="clear" w:pos="990"/>
              </w:tabs>
              <w:spacing w:before="0" w:line="240" w:lineRule="auto"/>
              <w:ind w:left="0"/>
              <w:rPr>
                <w:rFonts w:eastAsia="Times New Roman" w:cs="Arial"/>
                <w:b/>
                <w:sz w:val="22"/>
                <w:szCs w:val="24"/>
              </w:rPr>
            </w:pPr>
            <w:r>
              <w:rPr>
                <w:rFonts w:eastAsia="Times New Roman" w:cs="Arial"/>
                <w:b/>
                <w:sz w:val="22"/>
                <w:szCs w:val="24"/>
              </w:rPr>
              <w:t>Buy to Let / Additional</w:t>
            </w:r>
            <w:r>
              <w:rPr>
                <w:rFonts w:eastAsia="Times New Roman" w:cs="Arial"/>
                <w:b/>
                <w:sz w:val="22"/>
                <w:szCs w:val="24"/>
              </w:rPr>
              <w:br/>
              <w:t>Home Rate</w:t>
            </w:r>
          </w:p>
        </w:tc>
      </w:tr>
      <w:tr w:rsidR="00E620D7" w:rsidTr="00AD0837">
        <w:tc>
          <w:tcPr>
            <w:tcW w:w="1638"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p>
        </w:tc>
        <w:tc>
          <w:tcPr>
            <w:tcW w:w="3240"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p>
        </w:tc>
        <w:tc>
          <w:tcPr>
            <w:tcW w:w="3914"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p>
        </w:tc>
      </w:tr>
      <w:tr w:rsidR="00E620D7" w:rsidTr="00AD0837">
        <w:tc>
          <w:tcPr>
            <w:tcW w:w="1638"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Zero</w:t>
            </w:r>
          </w:p>
        </w:tc>
        <w:tc>
          <w:tcPr>
            <w:tcW w:w="3240" w:type="dxa"/>
          </w:tcPr>
          <w:p w:rsidR="00E620D7" w:rsidRDefault="00E620D7" w:rsidP="006D15E1">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£0 - £125,000</w:t>
            </w:r>
          </w:p>
        </w:tc>
        <w:tc>
          <w:tcPr>
            <w:tcW w:w="3914" w:type="dxa"/>
          </w:tcPr>
          <w:p w:rsidR="00E620D7" w:rsidRDefault="00E620D7" w:rsidP="006D15E1">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3%</w:t>
            </w:r>
          </w:p>
        </w:tc>
      </w:tr>
      <w:tr w:rsidR="00E620D7" w:rsidTr="00AD0837">
        <w:tc>
          <w:tcPr>
            <w:tcW w:w="1638"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2%</w:t>
            </w:r>
          </w:p>
        </w:tc>
        <w:tc>
          <w:tcPr>
            <w:tcW w:w="3240"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£125,001 - £250,000</w:t>
            </w:r>
          </w:p>
        </w:tc>
        <w:tc>
          <w:tcPr>
            <w:tcW w:w="3914"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5%</w:t>
            </w:r>
          </w:p>
        </w:tc>
      </w:tr>
      <w:tr w:rsidR="00E620D7" w:rsidTr="00AD0837">
        <w:tc>
          <w:tcPr>
            <w:tcW w:w="1638"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5%</w:t>
            </w:r>
          </w:p>
        </w:tc>
        <w:tc>
          <w:tcPr>
            <w:tcW w:w="3240"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£250,001 - £925,000</w:t>
            </w:r>
          </w:p>
        </w:tc>
        <w:tc>
          <w:tcPr>
            <w:tcW w:w="3914"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8%</w:t>
            </w:r>
          </w:p>
        </w:tc>
      </w:tr>
      <w:tr w:rsidR="00E620D7" w:rsidTr="00AD0837">
        <w:tc>
          <w:tcPr>
            <w:tcW w:w="1638"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10%</w:t>
            </w:r>
          </w:p>
        </w:tc>
        <w:tc>
          <w:tcPr>
            <w:tcW w:w="3240"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£925,001 - £1,500,000</w:t>
            </w:r>
          </w:p>
        </w:tc>
        <w:tc>
          <w:tcPr>
            <w:tcW w:w="3914"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13%</w:t>
            </w:r>
          </w:p>
        </w:tc>
      </w:tr>
      <w:tr w:rsidR="00E620D7" w:rsidTr="00AD0837">
        <w:tc>
          <w:tcPr>
            <w:tcW w:w="1638"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12%</w:t>
            </w:r>
          </w:p>
        </w:tc>
        <w:tc>
          <w:tcPr>
            <w:tcW w:w="3240"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£1,500,001 and over</w:t>
            </w:r>
          </w:p>
        </w:tc>
        <w:tc>
          <w:tcPr>
            <w:tcW w:w="3914" w:type="dxa"/>
          </w:tcPr>
          <w:p w:rsidR="00E620D7" w:rsidRDefault="00E620D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15%</w:t>
            </w:r>
          </w:p>
        </w:tc>
      </w:tr>
    </w:tbl>
    <w:p w:rsidR="00853E01" w:rsidRDefault="00853E01" w:rsidP="00876BD2">
      <w:pPr>
        <w:tabs>
          <w:tab w:val="clear" w:pos="360"/>
          <w:tab w:val="clear" w:pos="720"/>
          <w:tab w:val="clear" w:pos="990"/>
        </w:tabs>
        <w:spacing w:before="0" w:line="240" w:lineRule="auto"/>
        <w:ind w:left="0"/>
        <w:jc w:val="both"/>
        <w:rPr>
          <w:rFonts w:eastAsia="Times New Roman" w:cs="Arial"/>
          <w:sz w:val="22"/>
          <w:szCs w:val="24"/>
        </w:rPr>
      </w:pPr>
    </w:p>
    <w:p w:rsidR="005F1E13" w:rsidRDefault="0075719F"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 xml:space="preserve">For new build leasehold residential properties stamp duty is payable on the purchase price (lease premium) in accordance with the above rates and on a factor of the total rent payable over the </w:t>
      </w:r>
      <w:r w:rsidR="00C93BFA">
        <w:rPr>
          <w:rFonts w:eastAsia="Times New Roman" w:cs="Arial"/>
          <w:sz w:val="22"/>
          <w:szCs w:val="24"/>
        </w:rPr>
        <w:t>life of the lease.</w:t>
      </w:r>
    </w:p>
    <w:p w:rsidR="00C93BFA" w:rsidRDefault="00C93BFA" w:rsidP="00876BD2">
      <w:pPr>
        <w:tabs>
          <w:tab w:val="clear" w:pos="360"/>
          <w:tab w:val="clear" w:pos="720"/>
          <w:tab w:val="clear" w:pos="990"/>
        </w:tabs>
        <w:spacing w:before="0" w:line="240" w:lineRule="auto"/>
        <w:ind w:left="0"/>
        <w:jc w:val="both"/>
        <w:rPr>
          <w:rFonts w:eastAsia="Times New Roman" w:cs="Arial"/>
          <w:sz w:val="22"/>
          <w:szCs w:val="24"/>
        </w:rPr>
      </w:pPr>
    </w:p>
    <w:p w:rsidR="00C93BFA" w:rsidRDefault="00C93BFA"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Stamp Duty is charged at 15% on residential properties costing more than £500,000 bought by certain corporate bodies, including companies, partnerships and collective investment schemes.  There are various exemptions however, including property trading and</w:t>
      </w:r>
      <w:r w:rsidR="0011332B">
        <w:rPr>
          <w:rFonts w:eastAsia="Times New Roman" w:cs="Arial"/>
          <w:sz w:val="22"/>
          <w:szCs w:val="24"/>
        </w:rPr>
        <w:t xml:space="preserve"> developer companies.</w:t>
      </w:r>
    </w:p>
    <w:p w:rsidR="00AE0342" w:rsidRDefault="00AE0342" w:rsidP="00876BD2">
      <w:pPr>
        <w:tabs>
          <w:tab w:val="clear" w:pos="360"/>
          <w:tab w:val="clear" w:pos="720"/>
          <w:tab w:val="clear" w:pos="990"/>
        </w:tabs>
        <w:spacing w:before="0" w:line="240" w:lineRule="auto"/>
        <w:ind w:left="0"/>
        <w:jc w:val="both"/>
        <w:rPr>
          <w:rFonts w:eastAsia="Times New Roman" w:cs="Arial"/>
          <w:sz w:val="22"/>
          <w:szCs w:val="24"/>
        </w:rPr>
      </w:pPr>
    </w:p>
    <w:p w:rsidR="00AE0342" w:rsidRDefault="00AE0342" w:rsidP="00DE1CA6">
      <w:pPr>
        <w:tabs>
          <w:tab w:val="clear" w:pos="360"/>
          <w:tab w:val="clear" w:pos="720"/>
          <w:tab w:val="clear" w:pos="990"/>
        </w:tabs>
        <w:spacing w:before="0" w:line="240" w:lineRule="auto"/>
        <w:ind w:left="720" w:hanging="720"/>
        <w:jc w:val="both"/>
        <w:rPr>
          <w:rFonts w:eastAsia="Times New Roman" w:cs="Arial"/>
          <w:sz w:val="22"/>
          <w:szCs w:val="24"/>
        </w:rPr>
      </w:pPr>
      <w:r w:rsidRPr="00DE1CA6">
        <w:rPr>
          <w:rFonts w:eastAsia="Times New Roman" w:cs="Arial"/>
          <w:b/>
          <w:sz w:val="22"/>
          <w:szCs w:val="24"/>
        </w:rPr>
        <w:t>N.B.</w:t>
      </w:r>
      <w:r>
        <w:rPr>
          <w:rFonts w:eastAsia="Times New Roman" w:cs="Arial"/>
          <w:b/>
          <w:sz w:val="22"/>
          <w:szCs w:val="24"/>
        </w:rPr>
        <w:tab/>
      </w:r>
      <w:r>
        <w:rPr>
          <w:rFonts w:eastAsia="Times New Roman" w:cs="Arial"/>
          <w:sz w:val="22"/>
          <w:szCs w:val="24"/>
        </w:rPr>
        <w:t>VAT at 20% may also be payable on certain commercial properties, depending upon whether or not the owner or seller has opted to waive the exemption to tax.</w:t>
      </w:r>
    </w:p>
    <w:p w:rsidR="00607A87" w:rsidRDefault="00607A87" w:rsidP="00607A87">
      <w:pPr>
        <w:tabs>
          <w:tab w:val="clear" w:pos="360"/>
          <w:tab w:val="clear" w:pos="720"/>
          <w:tab w:val="clear" w:pos="990"/>
        </w:tabs>
        <w:spacing w:before="0" w:line="240" w:lineRule="auto"/>
        <w:ind w:left="720" w:hanging="720"/>
        <w:jc w:val="both"/>
        <w:rPr>
          <w:rFonts w:eastAsia="Times New Roman" w:cs="Arial"/>
          <w:sz w:val="22"/>
          <w:szCs w:val="24"/>
        </w:rPr>
      </w:pPr>
    </w:p>
    <w:p w:rsidR="00607A87" w:rsidRPr="00DE1CA6" w:rsidRDefault="00607A87" w:rsidP="00607A87">
      <w:pPr>
        <w:tabs>
          <w:tab w:val="clear" w:pos="360"/>
          <w:tab w:val="clear" w:pos="720"/>
          <w:tab w:val="clear" w:pos="990"/>
        </w:tabs>
        <w:spacing w:before="0" w:line="240" w:lineRule="auto"/>
        <w:ind w:left="720" w:hanging="720"/>
        <w:jc w:val="both"/>
        <w:rPr>
          <w:rFonts w:eastAsia="Times New Roman" w:cs="Arial"/>
          <w:b/>
          <w:sz w:val="22"/>
          <w:szCs w:val="24"/>
        </w:rPr>
      </w:pPr>
      <w:r w:rsidRPr="00DE1CA6">
        <w:rPr>
          <w:rFonts w:eastAsia="Times New Roman" w:cs="Arial"/>
          <w:b/>
          <w:sz w:val="22"/>
          <w:szCs w:val="24"/>
        </w:rPr>
        <w:t>Stamp Duty – on share transactions</w:t>
      </w:r>
    </w:p>
    <w:p w:rsidR="00135F19" w:rsidRDefault="00135F19" w:rsidP="00876BD2">
      <w:pPr>
        <w:tabs>
          <w:tab w:val="clear" w:pos="360"/>
          <w:tab w:val="clear" w:pos="720"/>
          <w:tab w:val="clear" w:pos="990"/>
        </w:tabs>
        <w:spacing w:before="0" w:line="240" w:lineRule="auto"/>
        <w:ind w:left="0"/>
        <w:jc w:val="both"/>
        <w:rPr>
          <w:rFonts w:eastAsia="Times New Roman" w:cs="Arial"/>
          <w:sz w:val="22"/>
          <w:szCs w:val="24"/>
        </w:rPr>
      </w:pPr>
    </w:p>
    <w:p w:rsidR="00607A87" w:rsidRDefault="00607A87" w:rsidP="00876B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The Stamp Duty on the transfer of shares in a company is at a rate of ½%.</w:t>
      </w:r>
    </w:p>
    <w:p w:rsidR="00607A87" w:rsidRPr="00876BD2" w:rsidRDefault="00607A87" w:rsidP="00876BD2">
      <w:pPr>
        <w:tabs>
          <w:tab w:val="clear" w:pos="360"/>
          <w:tab w:val="clear" w:pos="720"/>
          <w:tab w:val="clear" w:pos="990"/>
        </w:tabs>
        <w:spacing w:before="0" w:line="240" w:lineRule="auto"/>
        <w:ind w:left="0"/>
        <w:jc w:val="both"/>
        <w:rPr>
          <w:rFonts w:eastAsia="Times New Roman" w:cs="Arial"/>
          <w:sz w:val="22"/>
          <w:szCs w:val="24"/>
        </w:rPr>
      </w:pPr>
    </w:p>
    <w:p w:rsidR="009356EC" w:rsidRDefault="00272C68" w:rsidP="00876BD2">
      <w:pPr>
        <w:tabs>
          <w:tab w:val="clear" w:pos="360"/>
          <w:tab w:val="clear" w:pos="720"/>
          <w:tab w:val="clear" w:pos="990"/>
        </w:tabs>
        <w:spacing w:before="0" w:line="240" w:lineRule="auto"/>
        <w:ind w:left="0"/>
        <w:jc w:val="both"/>
        <w:rPr>
          <w:rFonts w:eastAsia="Times New Roman" w:cs="Arial"/>
          <w:b/>
          <w:sz w:val="22"/>
        </w:rPr>
      </w:pPr>
      <w:r w:rsidRPr="00876BD2">
        <w:rPr>
          <w:rFonts w:eastAsia="Times New Roman" w:cs="Arial"/>
          <w:b/>
          <w:bCs/>
          <w:sz w:val="28"/>
          <w:szCs w:val="28"/>
        </w:rPr>
        <w:t>Stamp Duty – on land transactions</w:t>
      </w:r>
      <w:r>
        <w:rPr>
          <w:rFonts w:eastAsia="Times New Roman" w:cs="Arial"/>
          <w:b/>
          <w:bCs/>
          <w:sz w:val="28"/>
          <w:szCs w:val="28"/>
        </w:rPr>
        <w:t xml:space="preserve"> –</w:t>
      </w:r>
      <w:r w:rsidR="004E653B">
        <w:rPr>
          <w:rFonts w:eastAsia="Times New Roman" w:cs="Arial"/>
          <w:b/>
          <w:sz w:val="22"/>
        </w:rPr>
        <w:t xml:space="preserve">SCOTLAND </w:t>
      </w:r>
    </w:p>
    <w:p w:rsidR="00272C68" w:rsidRDefault="00272C68" w:rsidP="00876BD2">
      <w:pPr>
        <w:tabs>
          <w:tab w:val="clear" w:pos="360"/>
          <w:tab w:val="clear" w:pos="720"/>
          <w:tab w:val="clear" w:pos="990"/>
        </w:tabs>
        <w:spacing w:before="0" w:line="240" w:lineRule="auto"/>
        <w:ind w:left="0"/>
        <w:jc w:val="both"/>
        <w:rPr>
          <w:rFonts w:eastAsia="Times New Roman" w:cs="Arial"/>
          <w:sz w:val="22"/>
        </w:rPr>
      </w:pPr>
    </w:p>
    <w:p w:rsidR="004E653B" w:rsidRPr="004E653B" w:rsidRDefault="00272C68" w:rsidP="00876BD2">
      <w:pPr>
        <w:tabs>
          <w:tab w:val="clear" w:pos="360"/>
          <w:tab w:val="clear" w:pos="720"/>
          <w:tab w:val="clear" w:pos="990"/>
        </w:tabs>
        <w:spacing w:before="0" w:line="240" w:lineRule="auto"/>
        <w:ind w:left="0"/>
        <w:jc w:val="both"/>
        <w:rPr>
          <w:rFonts w:eastAsia="Times New Roman" w:cs="Arial"/>
          <w:b/>
          <w:sz w:val="22"/>
        </w:rPr>
      </w:pPr>
      <w:r>
        <w:rPr>
          <w:rFonts w:eastAsia="Times New Roman" w:cs="Arial"/>
          <w:b/>
          <w:sz w:val="22"/>
        </w:rPr>
        <w:t>In Scotland, Stamp Duty was replaced by</w:t>
      </w:r>
      <w:r w:rsidR="004E653B">
        <w:rPr>
          <w:rFonts w:eastAsia="Times New Roman" w:cs="Arial"/>
          <w:b/>
          <w:sz w:val="22"/>
        </w:rPr>
        <w:t xml:space="preserve"> Land </w:t>
      </w:r>
      <w:r w:rsidR="009356EC">
        <w:rPr>
          <w:rFonts w:eastAsia="Times New Roman" w:cs="Arial"/>
          <w:b/>
          <w:sz w:val="22"/>
        </w:rPr>
        <w:t>&amp; Buildings Transaction Ta</w:t>
      </w:r>
      <w:r>
        <w:rPr>
          <w:rFonts w:eastAsia="Times New Roman" w:cs="Arial"/>
          <w:b/>
          <w:sz w:val="22"/>
        </w:rPr>
        <w:t>x</w:t>
      </w:r>
      <w:r w:rsidR="009356EC">
        <w:rPr>
          <w:rFonts w:eastAsia="Times New Roman" w:cs="Arial"/>
          <w:b/>
          <w:sz w:val="22"/>
        </w:rPr>
        <w:t xml:space="preserve"> </w:t>
      </w:r>
      <w:r w:rsidR="004E653B">
        <w:rPr>
          <w:rFonts w:eastAsia="Times New Roman" w:cs="Arial"/>
          <w:b/>
          <w:sz w:val="22"/>
        </w:rPr>
        <w:t>on 1</w:t>
      </w:r>
      <w:r w:rsidR="004E653B" w:rsidRPr="004E653B">
        <w:rPr>
          <w:rFonts w:eastAsia="Times New Roman" w:cs="Arial"/>
          <w:b/>
          <w:sz w:val="22"/>
          <w:vertAlign w:val="superscript"/>
        </w:rPr>
        <w:t>st</w:t>
      </w:r>
      <w:r w:rsidR="004E653B">
        <w:rPr>
          <w:rFonts w:eastAsia="Times New Roman" w:cs="Arial"/>
          <w:b/>
          <w:sz w:val="22"/>
        </w:rPr>
        <w:t xml:space="preserve"> April 2015.</w:t>
      </w:r>
    </w:p>
    <w:p w:rsidR="004E653B" w:rsidRDefault="004E653B" w:rsidP="00876BD2">
      <w:pPr>
        <w:tabs>
          <w:tab w:val="clear" w:pos="360"/>
          <w:tab w:val="clear" w:pos="720"/>
          <w:tab w:val="clear" w:pos="990"/>
        </w:tabs>
        <w:spacing w:before="0" w:line="240" w:lineRule="auto"/>
        <w:ind w:left="0"/>
        <w:jc w:val="both"/>
        <w:rPr>
          <w:rFonts w:eastAsia="Times New Roman" w:cs="Arial"/>
          <w:sz w:val="22"/>
        </w:rPr>
      </w:pPr>
    </w:p>
    <w:p w:rsidR="009356EC" w:rsidRPr="00876BD2" w:rsidRDefault="009356EC" w:rsidP="009356EC">
      <w:pPr>
        <w:tabs>
          <w:tab w:val="clear" w:pos="360"/>
          <w:tab w:val="clear" w:pos="720"/>
          <w:tab w:val="clear" w:pos="990"/>
        </w:tabs>
        <w:spacing w:before="0" w:line="240" w:lineRule="auto"/>
        <w:ind w:left="0"/>
        <w:jc w:val="both"/>
        <w:rPr>
          <w:rFonts w:eastAsia="Times New Roman" w:cs="Arial"/>
          <w:sz w:val="22"/>
          <w:szCs w:val="24"/>
        </w:rPr>
      </w:pPr>
      <w:r w:rsidRPr="00876BD2">
        <w:rPr>
          <w:rFonts w:eastAsia="Times New Roman" w:cs="Arial"/>
          <w:sz w:val="22"/>
          <w:szCs w:val="24"/>
        </w:rPr>
        <w:t xml:space="preserve">For a commercial property </w:t>
      </w:r>
      <w:r>
        <w:rPr>
          <w:rFonts w:eastAsia="Times New Roman" w:cs="Arial"/>
          <w:sz w:val="22"/>
          <w:szCs w:val="24"/>
        </w:rPr>
        <w:t xml:space="preserve">this </w:t>
      </w:r>
      <w:r w:rsidRPr="00876BD2">
        <w:rPr>
          <w:rFonts w:eastAsia="Times New Roman" w:cs="Arial"/>
          <w:sz w:val="22"/>
          <w:szCs w:val="24"/>
        </w:rPr>
        <w:t>is a percentage payable depending on the value of the transaction and is payable on the whole of the purchase price and may be summarised as follows:</w:t>
      </w:r>
    </w:p>
    <w:p w:rsidR="009356EC" w:rsidRPr="00876BD2" w:rsidRDefault="009356EC" w:rsidP="009356EC">
      <w:pPr>
        <w:tabs>
          <w:tab w:val="clear" w:pos="360"/>
          <w:tab w:val="clear" w:pos="720"/>
          <w:tab w:val="clear" w:pos="990"/>
        </w:tabs>
        <w:spacing w:before="0" w:line="240" w:lineRule="auto"/>
        <w:ind w:left="0"/>
        <w:jc w:val="both"/>
        <w:rPr>
          <w:rFonts w:eastAsia="Times New Roman" w:cs="Arial"/>
          <w:sz w:val="22"/>
          <w:szCs w:val="24"/>
        </w:rPr>
      </w:pPr>
    </w:p>
    <w:p w:rsidR="009356EC" w:rsidRPr="00876BD2" w:rsidRDefault="009356EC" w:rsidP="009356EC">
      <w:pPr>
        <w:tabs>
          <w:tab w:val="clear" w:pos="360"/>
          <w:tab w:val="clear" w:pos="720"/>
          <w:tab w:val="clear" w:pos="990"/>
        </w:tabs>
        <w:spacing w:before="0" w:line="240" w:lineRule="auto"/>
        <w:ind w:left="0"/>
        <w:jc w:val="both"/>
        <w:rPr>
          <w:rFonts w:eastAsia="Times New Roman" w:cs="Arial"/>
          <w:b/>
          <w:bCs/>
          <w:sz w:val="22"/>
          <w:szCs w:val="24"/>
        </w:rPr>
      </w:pPr>
      <w:r w:rsidRPr="00876BD2">
        <w:rPr>
          <w:rFonts w:eastAsia="Times New Roman" w:cs="Arial"/>
          <w:b/>
          <w:bCs/>
          <w:sz w:val="22"/>
          <w:szCs w:val="24"/>
        </w:rPr>
        <w:t>Rate</w:t>
      </w:r>
      <w:r w:rsidRPr="00876BD2">
        <w:rPr>
          <w:rFonts w:eastAsia="Times New Roman" w:cs="Arial"/>
          <w:sz w:val="22"/>
          <w:szCs w:val="24"/>
        </w:rPr>
        <w:tab/>
      </w:r>
      <w:r w:rsidRPr="00876BD2">
        <w:rPr>
          <w:rFonts w:eastAsia="Times New Roman" w:cs="Arial"/>
          <w:sz w:val="22"/>
          <w:szCs w:val="24"/>
        </w:rPr>
        <w:tab/>
      </w:r>
      <w:r w:rsidRPr="00876BD2">
        <w:rPr>
          <w:rFonts w:eastAsia="Times New Roman" w:cs="Arial"/>
          <w:sz w:val="22"/>
          <w:szCs w:val="24"/>
        </w:rPr>
        <w:tab/>
      </w:r>
      <w:r w:rsidRPr="00876BD2">
        <w:rPr>
          <w:rFonts w:eastAsia="Times New Roman" w:cs="Arial"/>
          <w:b/>
          <w:bCs/>
          <w:sz w:val="22"/>
          <w:szCs w:val="24"/>
        </w:rPr>
        <w:t>Commercial Property</w:t>
      </w:r>
    </w:p>
    <w:p w:rsidR="009356EC" w:rsidRPr="00876BD2" w:rsidRDefault="009356EC" w:rsidP="009356EC">
      <w:pPr>
        <w:tabs>
          <w:tab w:val="clear" w:pos="360"/>
          <w:tab w:val="clear" w:pos="720"/>
          <w:tab w:val="clear" w:pos="990"/>
        </w:tabs>
        <w:spacing w:before="0" w:line="240" w:lineRule="auto"/>
        <w:ind w:left="0"/>
        <w:jc w:val="both"/>
        <w:rPr>
          <w:rFonts w:eastAsia="Times New Roman" w:cs="Arial"/>
          <w:sz w:val="22"/>
          <w:szCs w:val="24"/>
        </w:rPr>
      </w:pPr>
    </w:p>
    <w:p w:rsidR="009356EC" w:rsidRPr="00876BD2" w:rsidRDefault="00272C68" w:rsidP="009356EC">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Zero</w:t>
      </w:r>
      <w:r>
        <w:rPr>
          <w:rFonts w:eastAsia="Times New Roman" w:cs="Arial"/>
          <w:sz w:val="22"/>
          <w:szCs w:val="24"/>
        </w:rPr>
        <w:tab/>
      </w:r>
      <w:r>
        <w:rPr>
          <w:rFonts w:eastAsia="Times New Roman" w:cs="Arial"/>
          <w:sz w:val="22"/>
          <w:szCs w:val="24"/>
        </w:rPr>
        <w:tab/>
      </w:r>
      <w:r>
        <w:rPr>
          <w:rFonts w:eastAsia="Times New Roman" w:cs="Arial"/>
          <w:sz w:val="22"/>
          <w:szCs w:val="24"/>
        </w:rPr>
        <w:tab/>
        <w:t>£0 - £150,000</w:t>
      </w:r>
    </w:p>
    <w:p w:rsidR="009356EC" w:rsidRPr="00876BD2" w:rsidRDefault="00272C68" w:rsidP="009356EC">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3%</w:t>
      </w:r>
      <w:r>
        <w:rPr>
          <w:rFonts w:eastAsia="Times New Roman" w:cs="Arial"/>
          <w:sz w:val="22"/>
          <w:szCs w:val="24"/>
        </w:rPr>
        <w:tab/>
      </w:r>
      <w:r>
        <w:rPr>
          <w:rFonts w:eastAsia="Times New Roman" w:cs="Arial"/>
          <w:sz w:val="22"/>
          <w:szCs w:val="24"/>
        </w:rPr>
        <w:tab/>
      </w:r>
      <w:r>
        <w:rPr>
          <w:rFonts w:eastAsia="Times New Roman" w:cs="Arial"/>
          <w:sz w:val="22"/>
          <w:szCs w:val="24"/>
        </w:rPr>
        <w:tab/>
        <w:t>£150,001 - £3</w:t>
      </w:r>
      <w:r w:rsidR="009356EC" w:rsidRPr="00876BD2">
        <w:rPr>
          <w:rFonts w:eastAsia="Times New Roman" w:cs="Arial"/>
          <w:sz w:val="22"/>
          <w:szCs w:val="24"/>
        </w:rPr>
        <w:t>50,000</w:t>
      </w:r>
    </w:p>
    <w:p w:rsidR="009356EC" w:rsidRPr="00876BD2" w:rsidRDefault="00272C68" w:rsidP="009356EC">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4.5%</w:t>
      </w:r>
      <w:r>
        <w:rPr>
          <w:rFonts w:eastAsia="Times New Roman" w:cs="Arial"/>
          <w:sz w:val="22"/>
          <w:szCs w:val="24"/>
        </w:rPr>
        <w:tab/>
      </w:r>
      <w:r>
        <w:rPr>
          <w:rFonts w:eastAsia="Times New Roman" w:cs="Arial"/>
          <w:sz w:val="22"/>
          <w:szCs w:val="24"/>
        </w:rPr>
        <w:tab/>
      </w:r>
      <w:r>
        <w:rPr>
          <w:rFonts w:eastAsia="Times New Roman" w:cs="Arial"/>
          <w:sz w:val="22"/>
          <w:szCs w:val="24"/>
        </w:rPr>
        <w:tab/>
        <w:t>£3</w:t>
      </w:r>
      <w:r w:rsidR="009356EC" w:rsidRPr="00876BD2">
        <w:rPr>
          <w:rFonts w:eastAsia="Times New Roman" w:cs="Arial"/>
          <w:sz w:val="22"/>
          <w:szCs w:val="24"/>
        </w:rPr>
        <w:t xml:space="preserve">50,001 </w:t>
      </w:r>
      <w:r w:rsidR="009356EC">
        <w:rPr>
          <w:rFonts w:eastAsia="Times New Roman" w:cs="Arial"/>
          <w:sz w:val="22"/>
          <w:szCs w:val="24"/>
        </w:rPr>
        <w:t>or over</w:t>
      </w:r>
    </w:p>
    <w:p w:rsidR="009356EC" w:rsidRDefault="009356EC" w:rsidP="009356EC">
      <w:pPr>
        <w:tabs>
          <w:tab w:val="clear" w:pos="360"/>
          <w:tab w:val="clear" w:pos="720"/>
          <w:tab w:val="clear" w:pos="990"/>
        </w:tabs>
        <w:spacing w:before="0" w:line="240" w:lineRule="auto"/>
        <w:ind w:left="0"/>
        <w:jc w:val="both"/>
        <w:rPr>
          <w:rFonts w:eastAsia="Times New Roman" w:cs="Arial"/>
          <w:sz w:val="22"/>
          <w:szCs w:val="24"/>
        </w:rPr>
      </w:pPr>
    </w:p>
    <w:p w:rsidR="009356EC" w:rsidRDefault="009356EC" w:rsidP="009356EC">
      <w:pPr>
        <w:tabs>
          <w:tab w:val="clear" w:pos="360"/>
          <w:tab w:val="clear" w:pos="720"/>
          <w:tab w:val="clear" w:pos="990"/>
        </w:tabs>
        <w:spacing w:before="0" w:line="240" w:lineRule="auto"/>
        <w:ind w:left="0"/>
        <w:jc w:val="both"/>
        <w:rPr>
          <w:rFonts w:eastAsia="Times New Roman" w:cs="Arial"/>
          <w:sz w:val="22"/>
          <w:szCs w:val="24"/>
        </w:rPr>
      </w:pPr>
      <w:r w:rsidRPr="00876BD2">
        <w:rPr>
          <w:rFonts w:eastAsia="Times New Roman" w:cs="Arial"/>
          <w:sz w:val="22"/>
          <w:szCs w:val="24"/>
        </w:rPr>
        <w:t xml:space="preserve">For </w:t>
      </w:r>
      <w:r>
        <w:rPr>
          <w:rFonts w:eastAsia="Times New Roman" w:cs="Arial"/>
          <w:sz w:val="22"/>
          <w:szCs w:val="24"/>
        </w:rPr>
        <w:t xml:space="preserve">freehold residential </w:t>
      </w:r>
      <w:r w:rsidRPr="00876BD2">
        <w:rPr>
          <w:rFonts w:eastAsia="Times New Roman" w:cs="Arial"/>
          <w:sz w:val="22"/>
          <w:szCs w:val="24"/>
        </w:rPr>
        <w:t xml:space="preserve">properties </w:t>
      </w:r>
      <w:r>
        <w:rPr>
          <w:rFonts w:eastAsia="Times New Roman" w:cs="Arial"/>
          <w:sz w:val="22"/>
          <w:szCs w:val="24"/>
        </w:rPr>
        <w:t xml:space="preserve">and second-hand leasehold residential properties, </w:t>
      </w:r>
      <w:r w:rsidRPr="00876BD2">
        <w:rPr>
          <w:rFonts w:eastAsia="Times New Roman" w:cs="Arial"/>
          <w:sz w:val="22"/>
          <w:szCs w:val="24"/>
        </w:rPr>
        <w:t>the rates vary from band to band in accordance with the following scale so that the amounts due for each band are added together to arrive at the total payable</w:t>
      </w:r>
      <w:r>
        <w:rPr>
          <w:rFonts w:eastAsia="Times New Roman" w:cs="Arial"/>
          <w:sz w:val="22"/>
          <w:szCs w:val="24"/>
        </w:rPr>
        <w:t>; a 3% surcharge is applied in cases where the buyer already owns a property anywhere in the world.  The rates are as follows</w:t>
      </w:r>
      <w:r w:rsidRPr="00876BD2">
        <w:rPr>
          <w:rFonts w:eastAsia="Times New Roman" w:cs="Arial"/>
          <w:sz w:val="22"/>
          <w:szCs w:val="24"/>
        </w:rPr>
        <w:t>:</w:t>
      </w:r>
    </w:p>
    <w:p w:rsidR="009356EC" w:rsidRDefault="009356EC" w:rsidP="009356EC">
      <w:pPr>
        <w:tabs>
          <w:tab w:val="clear" w:pos="360"/>
          <w:tab w:val="clear" w:pos="720"/>
          <w:tab w:val="clear" w:pos="990"/>
        </w:tabs>
        <w:spacing w:before="0" w:line="240" w:lineRule="auto"/>
        <w:ind w:left="0"/>
        <w:jc w:val="both"/>
        <w:rPr>
          <w:rFonts w:eastAsia="Times New Roman"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3168"/>
        <w:gridCol w:w="3811"/>
      </w:tblGrid>
      <w:tr w:rsidR="009356EC" w:rsidTr="001574D2">
        <w:tc>
          <w:tcPr>
            <w:tcW w:w="1638" w:type="dxa"/>
          </w:tcPr>
          <w:p w:rsidR="009356EC" w:rsidRPr="005F1E13" w:rsidRDefault="009356EC" w:rsidP="001574D2">
            <w:pPr>
              <w:tabs>
                <w:tab w:val="clear" w:pos="360"/>
                <w:tab w:val="clear" w:pos="720"/>
                <w:tab w:val="clear" w:pos="990"/>
              </w:tabs>
              <w:spacing w:before="0" w:line="240" w:lineRule="auto"/>
              <w:ind w:left="0"/>
              <w:jc w:val="both"/>
              <w:rPr>
                <w:rFonts w:eastAsia="Times New Roman" w:cs="Arial"/>
                <w:b/>
                <w:sz w:val="22"/>
                <w:szCs w:val="24"/>
              </w:rPr>
            </w:pPr>
            <w:r>
              <w:rPr>
                <w:rFonts w:eastAsia="Times New Roman" w:cs="Arial"/>
                <w:b/>
                <w:sz w:val="22"/>
                <w:szCs w:val="24"/>
              </w:rPr>
              <w:t>Rate</w:t>
            </w:r>
          </w:p>
        </w:tc>
        <w:tc>
          <w:tcPr>
            <w:tcW w:w="3240" w:type="dxa"/>
          </w:tcPr>
          <w:p w:rsidR="009356EC" w:rsidRPr="005F1E13" w:rsidRDefault="009356EC" w:rsidP="001574D2">
            <w:pPr>
              <w:tabs>
                <w:tab w:val="clear" w:pos="360"/>
                <w:tab w:val="clear" w:pos="720"/>
                <w:tab w:val="clear" w:pos="990"/>
              </w:tabs>
              <w:spacing w:before="0" w:line="240" w:lineRule="auto"/>
              <w:ind w:left="0"/>
              <w:jc w:val="both"/>
              <w:rPr>
                <w:rFonts w:eastAsia="Times New Roman" w:cs="Arial"/>
                <w:b/>
                <w:sz w:val="22"/>
                <w:szCs w:val="24"/>
              </w:rPr>
            </w:pPr>
            <w:r w:rsidRPr="005F1E13">
              <w:rPr>
                <w:rFonts w:eastAsia="Times New Roman" w:cs="Arial"/>
                <w:b/>
                <w:sz w:val="22"/>
                <w:szCs w:val="24"/>
              </w:rPr>
              <w:t>Residential Property</w:t>
            </w:r>
          </w:p>
        </w:tc>
        <w:tc>
          <w:tcPr>
            <w:tcW w:w="3914" w:type="dxa"/>
          </w:tcPr>
          <w:p w:rsidR="009356EC" w:rsidRPr="005F1E13" w:rsidRDefault="009356EC" w:rsidP="001574D2">
            <w:pPr>
              <w:tabs>
                <w:tab w:val="clear" w:pos="360"/>
                <w:tab w:val="clear" w:pos="720"/>
                <w:tab w:val="clear" w:pos="990"/>
              </w:tabs>
              <w:spacing w:before="0" w:line="240" w:lineRule="auto"/>
              <w:ind w:left="0"/>
              <w:rPr>
                <w:rFonts w:eastAsia="Times New Roman" w:cs="Arial"/>
                <w:b/>
                <w:sz w:val="22"/>
                <w:szCs w:val="24"/>
              </w:rPr>
            </w:pPr>
            <w:r>
              <w:rPr>
                <w:rFonts w:eastAsia="Times New Roman" w:cs="Arial"/>
                <w:b/>
                <w:sz w:val="22"/>
                <w:szCs w:val="24"/>
              </w:rPr>
              <w:t>Buy to Let / Additional</w:t>
            </w:r>
            <w:r>
              <w:rPr>
                <w:rFonts w:eastAsia="Times New Roman" w:cs="Arial"/>
                <w:b/>
                <w:sz w:val="22"/>
                <w:szCs w:val="24"/>
              </w:rPr>
              <w:br/>
              <w:t>Home Rate</w:t>
            </w:r>
          </w:p>
        </w:tc>
      </w:tr>
      <w:tr w:rsidR="009356EC" w:rsidTr="001574D2">
        <w:tc>
          <w:tcPr>
            <w:tcW w:w="1638"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p>
        </w:tc>
        <w:tc>
          <w:tcPr>
            <w:tcW w:w="3240"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p>
        </w:tc>
        <w:tc>
          <w:tcPr>
            <w:tcW w:w="3914"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p>
        </w:tc>
      </w:tr>
      <w:tr w:rsidR="009356EC" w:rsidTr="001574D2">
        <w:tc>
          <w:tcPr>
            <w:tcW w:w="1638"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Zero</w:t>
            </w:r>
          </w:p>
        </w:tc>
        <w:tc>
          <w:tcPr>
            <w:tcW w:w="3240" w:type="dxa"/>
          </w:tcPr>
          <w:p w:rsidR="009356EC" w:rsidRDefault="00272C68"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£0 - £14</w:t>
            </w:r>
            <w:r w:rsidR="009356EC">
              <w:rPr>
                <w:rFonts w:eastAsia="Times New Roman" w:cs="Arial"/>
                <w:sz w:val="22"/>
                <w:szCs w:val="24"/>
              </w:rPr>
              <w:t>5,000</w:t>
            </w:r>
          </w:p>
        </w:tc>
        <w:tc>
          <w:tcPr>
            <w:tcW w:w="3914"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3%</w:t>
            </w:r>
          </w:p>
        </w:tc>
      </w:tr>
      <w:tr w:rsidR="009356EC" w:rsidTr="001574D2">
        <w:tc>
          <w:tcPr>
            <w:tcW w:w="1638"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2%</w:t>
            </w:r>
          </w:p>
        </w:tc>
        <w:tc>
          <w:tcPr>
            <w:tcW w:w="3240" w:type="dxa"/>
          </w:tcPr>
          <w:p w:rsidR="009356EC" w:rsidRDefault="00272C68"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£14</w:t>
            </w:r>
            <w:r w:rsidR="009356EC">
              <w:rPr>
                <w:rFonts w:eastAsia="Times New Roman" w:cs="Arial"/>
                <w:sz w:val="22"/>
                <w:szCs w:val="24"/>
              </w:rPr>
              <w:t>5,001 - £250,000</w:t>
            </w:r>
          </w:p>
        </w:tc>
        <w:tc>
          <w:tcPr>
            <w:tcW w:w="3914"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5%</w:t>
            </w:r>
          </w:p>
        </w:tc>
      </w:tr>
      <w:tr w:rsidR="009356EC" w:rsidTr="001574D2">
        <w:tc>
          <w:tcPr>
            <w:tcW w:w="1638"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5%</w:t>
            </w:r>
          </w:p>
        </w:tc>
        <w:tc>
          <w:tcPr>
            <w:tcW w:w="3240" w:type="dxa"/>
          </w:tcPr>
          <w:p w:rsidR="009356EC" w:rsidRDefault="00272C68"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£250,001 - £3</w:t>
            </w:r>
            <w:r w:rsidR="009356EC">
              <w:rPr>
                <w:rFonts w:eastAsia="Times New Roman" w:cs="Arial"/>
                <w:sz w:val="22"/>
                <w:szCs w:val="24"/>
              </w:rPr>
              <w:t>25,000</w:t>
            </w:r>
          </w:p>
        </w:tc>
        <w:tc>
          <w:tcPr>
            <w:tcW w:w="3914"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8%</w:t>
            </w:r>
          </w:p>
        </w:tc>
      </w:tr>
      <w:tr w:rsidR="009356EC" w:rsidTr="001574D2">
        <w:tc>
          <w:tcPr>
            <w:tcW w:w="1638"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10%</w:t>
            </w:r>
          </w:p>
        </w:tc>
        <w:tc>
          <w:tcPr>
            <w:tcW w:w="3240" w:type="dxa"/>
          </w:tcPr>
          <w:p w:rsidR="009356EC" w:rsidRDefault="00272C68"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£325,001 - £75</w:t>
            </w:r>
            <w:r w:rsidR="009356EC">
              <w:rPr>
                <w:rFonts w:eastAsia="Times New Roman" w:cs="Arial"/>
                <w:sz w:val="22"/>
                <w:szCs w:val="24"/>
              </w:rPr>
              <w:t>0,000</w:t>
            </w:r>
          </w:p>
        </w:tc>
        <w:tc>
          <w:tcPr>
            <w:tcW w:w="3914"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13%</w:t>
            </w:r>
          </w:p>
        </w:tc>
      </w:tr>
      <w:tr w:rsidR="009356EC" w:rsidTr="001574D2">
        <w:tc>
          <w:tcPr>
            <w:tcW w:w="1638"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12%</w:t>
            </w:r>
          </w:p>
        </w:tc>
        <w:tc>
          <w:tcPr>
            <w:tcW w:w="3240" w:type="dxa"/>
          </w:tcPr>
          <w:p w:rsidR="009356EC" w:rsidRDefault="00272C68"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£750,001</w:t>
            </w:r>
            <w:r w:rsidR="009356EC">
              <w:rPr>
                <w:rFonts w:eastAsia="Times New Roman" w:cs="Arial"/>
                <w:sz w:val="22"/>
                <w:szCs w:val="24"/>
              </w:rPr>
              <w:t xml:space="preserve"> and over</w:t>
            </w:r>
          </w:p>
        </w:tc>
        <w:tc>
          <w:tcPr>
            <w:tcW w:w="3914" w:type="dxa"/>
          </w:tcPr>
          <w:p w:rsidR="009356EC" w:rsidRDefault="009356EC" w:rsidP="001574D2">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15%</w:t>
            </w:r>
          </w:p>
        </w:tc>
      </w:tr>
    </w:tbl>
    <w:p w:rsidR="009356EC" w:rsidRDefault="009356EC" w:rsidP="009356EC">
      <w:pPr>
        <w:tabs>
          <w:tab w:val="clear" w:pos="360"/>
          <w:tab w:val="clear" w:pos="720"/>
          <w:tab w:val="clear" w:pos="990"/>
        </w:tabs>
        <w:spacing w:before="0" w:line="240" w:lineRule="auto"/>
        <w:ind w:left="0"/>
        <w:jc w:val="both"/>
        <w:rPr>
          <w:rFonts w:eastAsia="Times New Roman" w:cs="Arial"/>
          <w:sz w:val="22"/>
          <w:szCs w:val="24"/>
        </w:rPr>
      </w:pPr>
    </w:p>
    <w:p w:rsidR="009356EC" w:rsidRDefault="009356EC" w:rsidP="009356EC">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For new build leasehold residential properties stamp duty is payable on the purchase price (lease premium) in accordance with the above rates and on a factor of the total rent payable over the life of the lease.</w:t>
      </w:r>
    </w:p>
    <w:p w:rsidR="009356EC" w:rsidRDefault="009356EC" w:rsidP="009356EC">
      <w:pPr>
        <w:tabs>
          <w:tab w:val="clear" w:pos="360"/>
          <w:tab w:val="clear" w:pos="720"/>
          <w:tab w:val="clear" w:pos="990"/>
        </w:tabs>
        <w:spacing w:before="0" w:line="240" w:lineRule="auto"/>
        <w:ind w:left="0"/>
        <w:jc w:val="both"/>
        <w:rPr>
          <w:rFonts w:eastAsia="Times New Roman" w:cs="Arial"/>
          <w:sz w:val="22"/>
          <w:szCs w:val="24"/>
        </w:rPr>
      </w:pPr>
    </w:p>
    <w:p w:rsidR="009356EC" w:rsidRDefault="009356EC" w:rsidP="009356EC">
      <w:pPr>
        <w:tabs>
          <w:tab w:val="clear" w:pos="360"/>
          <w:tab w:val="clear" w:pos="720"/>
          <w:tab w:val="clear" w:pos="990"/>
        </w:tabs>
        <w:spacing w:before="0" w:line="240" w:lineRule="auto"/>
        <w:ind w:left="0"/>
        <w:jc w:val="both"/>
        <w:rPr>
          <w:rFonts w:eastAsia="Times New Roman" w:cs="Arial"/>
          <w:sz w:val="22"/>
          <w:szCs w:val="24"/>
        </w:rPr>
      </w:pPr>
      <w:r>
        <w:rPr>
          <w:rFonts w:eastAsia="Times New Roman" w:cs="Arial"/>
          <w:sz w:val="22"/>
          <w:szCs w:val="24"/>
        </w:rPr>
        <w:t>Stamp Duty is charged at 15% on residential properties costing more than £500,000 bought by certain corporate bodies, including companies, partnerships and collective investment schemes.  There are various exemptions however, including property trading and developer companies.</w:t>
      </w:r>
    </w:p>
    <w:p w:rsidR="009356EC" w:rsidRDefault="009356EC" w:rsidP="009356EC">
      <w:pPr>
        <w:tabs>
          <w:tab w:val="clear" w:pos="360"/>
          <w:tab w:val="clear" w:pos="720"/>
          <w:tab w:val="clear" w:pos="990"/>
        </w:tabs>
        <w:spacing w:before="0" w:line="240" w:lineRule="auto"/>
        <w:ind w:left="0"/>
        <w:jc w:val="both"/>
        <w:rPr>
          <w:rFonts w:eastAsia="Times New Roman" w:cs="Arial"/>
          <w:sz w:val="22"/>
          <w:szCs w:val="24"/>
        </w:rPr>
      </w:pPr>
    </w:p>
    <w:p w:rsidR="009356EC" w:rsidRDefault="009356EC" w:rsidP="009356EC">
      <w:pPr>
        <w:tabs>
          <w:tab w:val="clear" w:pos="360"/>
          <w:tab w:val="clear" w:pos="720"/>
          <w:tab w:val="clear" w:pos="990"/>
        </w:tabs>
        <w:spacing w:before="0" w:line="240" w:lineRule="auto"/>
        <w:ind w:left="720" w:hanging="720"/>
        <w:jc w:val="both"/>
        <w:rPr>
          <w:rFonts w:eastAsia="Times New Roman" w:cs="Arial"/>
          <w:sz w:val="22"/>
          <w:szCs w:val="24"/>
        </w:rPr>
      </w:pPr>
      <w:r w:rsidRPr="00DE1CA6">
        <w:rPr>
          <w:rFonts w:eastAsia="Times New Roman" w:cs="Arial"/>
          <w:b/>
          <w:sz w:val="22"/>
          <w:szCs w:val="24"/>
        </w:rPr>
        <w:t>N.B.</w:t>
      </w:r>
      <w:r>
        <w:rPr>
          <w:rFonts w:eastAsia="Times New Roman" w:cs="Arial"/>
          <w:b/>
          <w:sz w:val="22"/>
          <w:szCs w:val="24"/>
        </w:rPr>
        <w:tab/>
      </w:r>
      <w:r>
        <w:rPr>
          <w:rFonts w:eastAsia="Times New Roman" w:cs="Arial"/>
          <w:sz w:val="22"/>
          <w:szCs w:val="24"/>
        </w:rPr>
        <w:t>VAT at 20% may also be payable on certain commercial properties, depending upon whether or not the owner or seller has opted to waive the exemption to tax.</w:t>
      </w:r>
    </w:p>
    <w:p w:rsidR="00876BD2" w:rsidRPr="00876BD2" w:rsidRDefault="00876BD2" w:rsidP="00876BD2">
      <w:pPr>
        <w:keepNext/>
        <w:tabs>
          <w:tab w:val="clear" w:pos="360"/>
          <w:tab w:val="clear" w:pos="720"/>
          <w:tab w:val="clear" w:pos="990"/>
        </w:tabs>
        <w:spacing w:before="0" w:after="240" w:line="240" w:lineRule="auto"/>
        <w:ind w:left="0"/>
        <w:jc w:val="both"/>
        <w:outlineLvl w:val="2"/>
        <w:rPr>
          <w:rFonts w:eastAsia="Times New Roman" w:cs="Arial"/>
          <w:b/>
          <w:bCs/>
          <w:sz w:val="28"/>
          <w:szCs w:val="26"/>
        </w:rPr>
      </w:pPr>
      <w:r w:rsidRPr="00876BD2">
        <w:rPr>
          <w:rFonts w:eastAsia="Times New Roman" w:cs="Arial"/>
          <w:b/>
          <w:bCs/>
          <w:sz w:val="28"/>
          <w:szCs w:val="26"/>
        </w:rPr>
        <w:lastRenderedPageBreak/>
        <w:t>High Value UK Residences held by Companies</w:t>
      </w:r>
    </w:p>
    <w:p w:rsidR="00876BD2" w:rsidRPr="00876BD2" w:rsidRDefault="00876BD2" w:rsidP="00876BD2">
      <w:pPr>
        <w:keepNext/>
        <w:tabs>
          <w:tab w:val="clear" w:pos="360"/>
          <w:tab w:val="clear" w:pos="720"/>
          <w:tab w:val="clear" w:pos="990"/>
        </w:tabs>
        <w:spacing w:before="0" w:after="240" w:line="240" w:lineRule="auto"/>
        <w:ind w:left="0"/>
        <w:jc w:val="both"/>
        <w:outlineLvl w:val="1"/>
        <w:rPr>
          <w:rFonts w:eastAsia="Times New Roman" w:cs="Arial"/>
          <w:b/>
          <w:bCs/>
          <w:sz w:val="22"/>
          <w:szCs w:val="28"/>
        </w:rPr>
      </w:pPr>
      <w:r w:rsidRPr="00876BD2">
        <w:rPr>
          <w:rFonts w:eastAsia="Times New Roman" w:cs="Arial"/>
          <w:b/>
          <w:bCs/>
          <w:sz w:val="22"/>
          <w:szCs w:val="28"/>
        </w:rPr>
        <w:t>Annual Tax on Enveloped Dwellings (ATED)</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The “</w:t>
      </w:r>
      <w:r w:rsidR="0066303D">
        <w:rPr>
          <w:rFonts w:eastAsia="Times New Roman" w:cs="Arial"/>
          <w:bCs/>
          <w:sz w:val="22"/>
        </w:rPr>
        <w:t>annual charge” is imposed from 1</w:t>
      </w:r>
      <w:r w:rsidR="0066303D" w:rsidRPr="0066303D">
        <w:rPr>
          <w:rFonts w:eastAsia="Times New Roman" w:cs="Arial"/>
          <w:bCs/>
          <w:sz w:val="22"/>
          <w:vertAlign w:val="superscript"/>
        </w:rPr>
        <w:t>st</w:t>
      </w:r>
      <w:r w:rsidR="0066303D">
        <w:rPr>
          <w:rFonts w:eastAsia="Times New Roman" w:cs="Arial"/>
          <w:bCs/>
          <w:sz w:val="22"/>
        </w:rPr>
        <w:t xml:space="preserve"> </w:t>
      </w:r>
      <w:r w:rsidRPr="00876BD2">
        <w:rPr>
          <w:rFonts w:eastAsia="Times New Roman" w:cs="Arial"/>
          <w:bCs/>
          <w:sz w:val="22"/>
        </w:rPr>
        <w:t>April 2013 on a company, a partnership having one or more companies among its members or a collective investment scheme which owns a UK dwelling with a “taxable value” exceeding £</w:t>
      </w:r>
      <w:r w:rsidR="00C85EAF">
        <w:rPr>
          <w:rFonts w:eastAsia="Times New Roman" w:cs="Arial"/>
          <w:bCs/>
          <w:sz w:val="22"/>
        </w:rPr>
        <w:t>500,000</w:t>
      </w:r>
      <w:r w:rsidRPr="00876BD2">
        <w:rPr>
          <w:rFonts w:eastAsia="Times New Roman" w:cs="Arial"/>
          <w:bCs/>
          <w:sz w:val="22"/>
        </w:rPr>
        <w:t xml:space="preserve"> on a “valuation day”.</w:t>
      </w:r>
    </w:p>
    <w:p w:rsidR="00876BD2" w:rsidRDefault="00876BD2" w:rsidP="00876BD2">
      <w:pPr>
        <w:tabs>
          <w:tab w:val="clear" w:pos="360"/>
          <w:tab w:val="clear" w:pos="720"/>
          <w:tab w:val="clear" w:pos="990"/>
        </w:tabs>
        <w:spacing w:before="0" w:line="240" w:lineRule="auto"/>
        <w:ind w:left="0"/>
        <w:jc w:val="both"/>
        <w:rPr>
          <w:rFonts w:eastAsia="Times New Roman" w:cs="Arial"/>
          <w:bCs/>
          <w:sz w:val="22"/>
        </w:rPr>
      </w:pPr>
    </w:p>
    <w:p w:rsidR="00CB424A" w:rsidRPr="00A45DAC" w:rsidRDefault="00CB424A" w:rsidP="00876BD2">
      <w:pPr>
        <w:tabs>
          <w:tab w:val="clear" w:pos="360"/>
          <w:tab w:val="clear" w:pos="720"/>
          <w:tab w:val="clear" w:pos="990"/>
        </w:tabs>
        <w:spacing w:before="0" w:line="240" w:lineRule="auto"/>
        <w:ind w:left="0"/>
        <w:jc w:val="both"/>
        <w:rPr>
          <w:rFonts w:eastAsia="Times New Roman" w:cs="Arial"/>
          <w:b/>
          <w:bCs/>
          <w:sz w:val="22"/>
        </w:rPr>
      </w:pPr>
      <w:r w:rsidRPr="00A45DAC">
        <w:rPr>
          <w:rFonts w:eastAsia="Times New Roman" w:cs="Arial"/>
          <w:b/>
          <w:bCs/>
          <w:sz w:val="22"/>
        </w:rPr>
        <w:t xml:space="preserve">Chargeable amounts for </w:t>
      </w:r>
      <w:r w:rsidR="0066303D">
        <w:rPr>
          <w:rFonts w:eastAsia="Times New Roman" w:cs="Arial"/>
          <w:b/>
          <w:bCs/>
          <w:sz w:val="22"/>
        </w:rPr>
        <w:t>1</w:t>
      </w:r>
      <w:r w:rsidR="0066303D" w:rsidRPr="0066303D">
        <w:rPr>
          <w:rFonts w:eastAsia="Times New Roman" w:cs="Arial"/>
          <w:b/>
          <w:bCs/>
          <w:sz w:val="22"/>
          <w:vertAlign w:val="superscript"/>
        </w:rPr>
        <w:t>st</w:t>
      </w:r>
      <w:r w:rsidR="0066303D">
        <w:rPr>
          <w:rFonts w:eastAsia="Times New Roman" w:cs="Arial"/>
          <w:b/>
          <w:bCs/>
          <w:sz w:val="22"/>
        </w:rPr>
        <w:t xml:space="preserve"> </w:t>
      </w:r>
      <w:r w:rsidRPr="00A45DAC">
        <w:rPr>
          <w:rFonts w:eastAsia="Times New Roman" w:cs="Arial"/>
          <w:b/>
          <w:bCs/>
          <w:sz w:val="22"/>
        </w:rPr>
        <w:t>April 201</w:t>
      </w:r>
      <w:r w:rsidR="00404082">
        <w:rPr>
          <w:rFonts w:eastAsia="Times New Roman" w:cs="Arial"/>
          <w:b/>
          <w:bCs/>
          <w:sz w:val="22"/>
        </w:rPr>
        <w:t>8</w:t>
      </w:r>
      <w:r w:rsidRPr="00A45DAC">
        <w:rPr>
          <w:rFonts w:eastAsia="Times New Roman" w:cs="Arial"/>
          <w:b/>
          <w:bCs/>
          <w:sz w:val="22"/>
        </w:rPr>
        <w:t xml:space="preserve"> to 31</w:t>
      </w:r>
      <w:r w:rsidR="0066303D" w:rsidRPr="0066303D">
        <w:rPr>
          <w:rFonts w:eastAsia="Times New Roman" w:cs="Arial"/>
          <w:b/>
          <w:bCs/>
          <w:sz w:val="22"/>
          <w:vertAlign w:val="superscript"/>
        </w:rPr>
        <w:t>st</w:t>
      </w:r>
      <w:r w:rsidR="0066303D">
        <w:rPr>
          <w:rFonts w:eastAsia="Times New Roman" w:cs="Arial"/>
          <w:b/>
          <w:bCs/>
          <w:sz w:val="22"/>
        </w:rPr>
        <w:t xml:space="preserve"> </w:t>
      </w:r>
      <w:r w:rsidRPr="00A45DAC">
        <w:rPr>
          <w:rFonts w:eastAsia="Times New Roman" w:cs="Arial"/>
          <w:b/>
          <w:bCs/>
          <w:sz w:val="22"/>
        </w:rPr>
        <w:t>March 201</w:t>
      </w:r>
      <w:r w:rsidR="00404082">
        <w:rPr>
          <w:rFonts w:eastAsia="Times New Roman" w:cs="Arial"/>
          <w:b/>
          <w:bCs/>
          <w:sz w:val="22"/>
        </w:rPr>
        <w:t>9</w:t>
      </w:r>
    </w:p>
    <w:p w:rsidR="00CB424A" w:rsidRDefault="00CB424A" w:rsidP="00876BD2">
      <w:pPr>
        <w:tabs>
          <w:tab w:val="clear" w:pos="360"/>
          <w:tab w:val="clear" w:pos="720"/>
          <w:tab w:val="clear" w:pos="990"/>
        </w:tabs>
        <w:spacing w:before="0" w:line="240" w:lineRule="auto"/>
        <w:ind w:left="0"/>
        <w:jc w:val="both"/>
        <w:rPr>
          <w:rFonts w:eastAsia="Times New Roman" w:cs="Arial"/>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2414"/>
      </w:tblGrid>
      <w:tr w:rsidR="00CB424A" w:rsidTr="009136AD">
        <w:tc>
          <w:tcPr>
            <w:tcW w:w="6228" w:type="dxa"/>
          </w:tcPr>
          <w:p w:rsidR="00CB424A" w:rsidRPr="00AD0837" w:rsidRDefault="00CB424A" w:rsidP="00876BD2">
            <w:pPr>
              <w:tabs>
                <w:tab w:val="clear" w:pos="360"/>
                <w:tab w:val="clear" w:pos="720"/>
                <w:tab w:val="clear" w:pos="990"/>
              </w:tabs>
              <w:spacing w:before="0" w:line="240" w:lineRule="auto"/>
              <w:ind w:left="0"/>
              <w:jc w:val="both"/>
              <w:rPr>
                <w:rFonts w:eastAsia="Times New Roman" w:cs="Arial"/>
                <w:b/>
                <w:bCs/>
                <w:sz w:val="22"/>
              </w:rPr>
            </w:pPr>
            <w:r>
              <w:rPr>
                <w:rFonts w:eastAsia="Times New Roman" w:cs="Arial"/>
                <w:b/>
                <w:bCs/>
                <w:sz w:val="22"/>
              </w:rPr>
              <w:t>Property value</w:t>
            </w:r>
          </w:p>
        </w:tc>
        <w:tc>
          <w:tcPr>
            <w:tcW w:w="2430" w:type="dxa"/>
          </w:tcPr>
          <w:p w:rsidR="00CB424A" w:rsidRPr="00CB424A" w:rsidRDefault="00CB424A" w:rsidP="00876BD2">
            <w:pPr>
              <w:tabs>
                <w:tab w:val="clear" w:pos="360"/>
                <w:tab w:val="clear" w:pos="720"/>
                <w:tab w:val="clear" w:pos="990"/>
              </w:tabs>
              <w:spacing w:before="0" w:line="240" w:lineRule="auto"/>
              <w:ind w:left="0"/>
              <w:jc w:val="both"/>
              <w:rPr>
                <w:rFonts w:eastAsia="Times New Roman" w:cs="Arial"/>
                <w:b/>
                <w:bCs/>
                <w:sz w:val="22"/>
              </w:rPr>
            </w:pPr>
            <w:r w:rsidRPr="00CB424A">
              <w:rPr>
                <w:rFonts w:eastAsia="Times New Roman" w:cs="Arial"/>
                <w:b/>
                <w:bCs/>
                <w:sz w:val="22"/>
              </w:rPr>
              <w:t>Annual charge</w:t>
            </w:r>
          </w:p>
        </w:tc>
      </w:tr>
      <w:tr w:rsidR="00CB424A" w:rsidTr="009136AD">
        <w:tc>
          <w:tcPr>
            <w:tcW w:w="6228" w:type="dxa"/>
          </w:tcPr>
          <w:p w:rsidR="00CB424A" w:rsidRDefault="00CB424A" w:rsidP="00876BD2">
            <w:pPr>
              <w:tabs>
                <w:tab w:val="clear" w:pos="360"/>
                <w:tab w:val="clear" w:pos="720"/>
                <w:tab w:val="clear" w:pos="990"/>
              </w:tabs>
              <w:spacing w:before="0" w:line="240" w:lineRule="auto"/>
              <w:ind w:left="0"/>
              <w:jc w:val="both"/>
              <w:rPr>
                <w:rFonts w:eastAsia="Times New Roman" w:cs="Arial"/>
                <w:bCs/>
                <w:sz w:val="22"/>
              </w:rPr>
            </w:pPr>
          </w:p>
        </w:tc>
        <w:tc>
          <w:tcPr>
            <w:tcW w:w="2430" w:type="dxa"/>
          </w:tcPr>
          <w:p w:rsidR="00CB424A" w:rsidRDefault="00CB424A" w:rsidP="00876BD2">
            <w:pPr>
              <w:tabs>
                <w:tab w:val="clear" w:pos="360"/>
                <w:tab w:val="clear" w:pos="720"/>
                <w:tab w:val="clear" w:pos="990"/>
              </w:tabs>
              <w:spacing w:before="0" w:line="240" w:lineRule="auto"/>
              <w:ind w:left="0"/>
              <w:jc w:val="both"/>
              <w:rPr>
                <w:rFonts w:eastAsia="Times New Roman" w:cs="Arial"/>
                <w:bCs/>
                <w:sz w:val="22"/>
              </w:rPr>
            </w:pPr>
          </w:p>
        </w:tc>
      </w:tr>
      <w:tr w:rsidR="00CB424A" w:rsidTr="009136AD">
        <w:tc>
          <w:tcPr>
            <w:tcW w:w="6228" w:type="dxa"/>
          </w:tcPr>
          <w:p w:rsidR="00CB424A" w:rsidRDefault="00D144EB" w:rsidP="00876BD2">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More than £500,000 but not more than £1 million</w:t>
            </w:r>
          </w:p>
        </w:tc>
        <w:tc>
          <w:tcPr>
            <w:tcW w:w="2430" w:type="dxa"/>
          </w:tcPr>
          <w:p w:rsidR="00CB424A" w:rsidRDefault="00D144EB">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£3,</w:t>
            </w:r>
            <w:r w:rsidR="00404082" w:rsidDel="00404082">
              <w:rPr>
                <w:rFonts w:eastAsia="Times New Roman" w:cs="Arial"/>
                <w:bCs/>
                <w:sz w:val="22"/>
              </w:rPr>
              <w:t xml:space="preserve"> </w:t>
            </w:r>
            <w:r w:rsidR="00404082">
              <w:rPr>
                <w:rFonts w:eastAsia="Times New Roman" w:cs="Arial"/>
                <w:bCs/>
                <w:sz w:val="22"/>
              </w:rPr>
              <w:t>6</w:t>
            </w:r>
            <w:r>
              <w:rPr>
                <w:rFonts w:eastAsia="Times New Roman" w:cs="Arial"/>
                <w:bCs/>
                <w:sz w:val="22"/>
              </w:rPr>
              <w:t>00</w:t>
            </w:r>
          </w:p>
        </w:tc>
      </w:tr>
      <w:tr w:rsidR="00D144EB" w:rsidTr="009136AD">
        <w:tc>
          <w:tcPr>
            <w:tcW w:w="6228" w:type="dxa"/>
          </w:tcPr>
          <w:p w:rsidR="00D144EB" w:rsidRDefault="00D144EB" w:rsidP="00876BD2">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More than £1 million but not more than £2 million</w:t>
            </w:r>
          </w:p>
        </w:tc>
        <w:tc>
          <w:tcPr>
            <w:tcW w:w="2430" w:type="dxa"/>
          </w:tcPr>
          <w:p w:rsidR="00D144EB" w:rsidRDefault="00D144EB">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£7,</w:t>
            </w:r>
            <w:r w:rsidR="00404082">
              <w:rPr>
                <w:rFonts w:eastAsia="Times New Roman" w:cs="Arial"/>
                <w:bCs/>
                <w:sz w:val="22"/>
              </w:rPr>
              <w:t>250</w:t>
            </w:r>
          </w:p>
        </w:tc>
      </w:tr>
      <w:tr w:rsidR="00D144EB" w:rsidTr="009136AD">
        <w:tc>
          <w:tcPr>
            <w:tcW w:w="6228" w:type="dxa"/>
          </w:tcPr>
          <w:p w:rsidR="00D144EB" w:rsidRDefault="00D144EB" w:rsidP="00876BD2">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More than £2 million but not more than £5 million</w:t>
            </w:r>
          </w:p>
        </w:tc>
        <w:tc>
          <w:tcPr>
            <w:tcW w:w="2430" w:type="dxa"/>
          </w:tcPr>
          <w:p w:rsidR="00D144EB" w:rsidRDefault="00D144EB">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w:t>
            </w:r>
            <w:r w:rsidR="00404082">
              <w:rPr>
                <w:rFonts w:eastAsia="Times New Roman" w:cs="Arial"/>
                <w:bCs/>
                <w:sz w:val="22"/>
              </w:rPr>
              <w:t>24,250</w:t>
            </w:r>
          </w:p>
        </w:tc>
      </w:tr>
      <w:tr w:rsidR="00D144EB" w:rsidTr="009136AD">
        <w:tc>
          <w:tcPr>
            <w:tcW w:w="6228" w:type="dxa"/>
          </w:tcPr>
          <w:p w:rsidR="00D144EB" w:rsidRDefault="00D144EB" w:rsidP="00876BD2">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More than £5 million but not more than £10 million</w:t>
            </w:r>
          </w:p>
        </w:tc>
        <w:tc>
          <w:tcPr>
            <w:tcW w:w="2430" w:type="dxa"/>
          </w:tcPr>
          <w:p w:rsidR="00D144EB" w:rsidRDefault="00D144EB">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w:t>
            </w:r>
            <w:r w:rsidR="00404082">
              <w:rPr>
                <w:rFonts w:eastAsia="Times New Roman" w:cs="Arial"/>
                <w:bCs/>
                <w:sz w:val="22"/>
              </w:rPr>
              <w:t>56,550</w:t>
            </w:r>
          </w:p>
        </w:tc>
      </w:tr>
      <w:tr w:rsidR="00D144EB" w:rsidTr="009136AD">
        <w:tc>
          <w:tcPr>
            <w:tcW w:w="6228" w:type="dxa"/>
          </w:tcPr>
          <w:p w:rsidR="00D144EB" w:rsidRDefault="00D144EB" w:rsidP="00876BD2">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More than £10 million but not more than £20 million</w:t>
            </w:r>
          </w:p>
        </w:tc>
        <w:tc>
          <w:tcPr>
            <w:tcW w:w="2430" w:type="dxa"/>
          </w:tcPr>
          <w:p w:rsidR="00D144EB" w:rsidRDefault="00D876A7">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w:t>
            </w:r>
            <w:r w:rsidR="00404082">
              <w:rPr>
                <w:rFonts w:eastAsia="Times New Roman" w:cs="Arial"/>
                <w:bCs/>
                <w:sz w:val="22"/>
              </w:rPr>
              <w:t>113,400</w:t>
            </w:r>
          </w:p>
        </w:tc>
      </w:tr>
      <w:tr w:rsidR="00D876A7" w:rsidTr="009136AD">
        <w:tc>
          <w:tcPr>
            <w:tcW w:w="6228" w:type="dxa"/>
          </w:tcPr>
          <w:p w:rsidR="00D876A7" w:rsidRDefault="00D876A7" w:rsidP="00876BD2">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More than £20 million</w:t>
            </w:r>
          </w:p>
        </w:tc>
        <w:tc>
          <w:tcPr>
            <w:tcW w:w="2430" w:type="dxa"/>
          </w:tcPr>
          <w:p w:rsidR="00D876A7" w:rsidRDefault="00D876A7">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w:t>
            </w:r>
            <w:r w:rsidR="00404082">
              <w:rPr>
                <w:rFonts w:eastAsia="Times New Roman" w:cs="Arial"/>
                <w:bCs/>
                <w:sz w:val="22"/>
              </w:rPr>
              <w:t>226,950</w:t>
            </w:r>
          </w:p>
        </w:tc>
      </w:tr>
    </w:tbl>
    <w:p w:rsidR="009136AD" w:rsidRPr="00876BD2" w:rsidRDefault="009136AD" w:rsidP="00876BD2">
      <w:pPr>
        <w:tabs>
          <w:tab w:val="clear" w:pos="360"/>
          <w:tab w:val="clear" w:pos="720"/>
          <w:tab w:val="clear" w:pos="990"/>
        </w:tabs>
        <w:spacing w:before="0" w:line="240" w:lineRule="auto"/>
        <w:ind w:left="0"/>
        <w:jc w:val="both"/>
        <w:rPr>
          <w:rFonts w:eastAsia="Times New Roman" w:cs="Arial"/>
          <w:bCs/>
          <w:sz w:val="22"/>
        </w:rPr>
      </w:pPr>
    </w:p>
    <w:p w:rsidR="00876BD2" w:rsidRPr="00876BD2" w:rsidRDefault="00876BD2" w:rsidP="00876BD2">
      <w:pPr>
        <w:keepNext/>
        <w:tabs>
          <w:tab w:val="clear" w:pos="360"/>
          <w:tab w:val="clear" w:pos="720"/>
          <w:tab w:val="clear" w:pos="990"/>
        </w:tabs>
        <w:spacing w:before="0" w:after="240" w:line="240" w:lineRule="auto"/>
        <w:ind w:left="0"/>
        <w:jc w:val="both"/>
        <w:outlineLvl w:val="2"/>
        <w:rPr>
          <w:rFonts w:eastAsia="Times New Roman" w:cs="Arial"/>
          <w:b/>
          <w:bCs/>
          <w:sz w:val="28"/>
          <w:szCs w:val="26"/>
        </w:rPr>
      </w:pPr>
      <w:r w:rsidRPr="00876BD2">
        <w:rPr>
          <w:rFonts w:eastAsia="Times New Roman" w:cs="Arial"/>
          <w:b/>
          <w:bCs/>
          <w:sz w:val="28"/>
          <w:szCs w:val="26"/>
        </w:rPr>
        <w:t>Individuals</w:t>
      </w:r>
    </w:p>
    <w:p w:rsidR="00876BD2" w:rsidRPr="00876BD2" w:rsidRDefault="00876BD2" w:rsidP="00876BD2">
      <w:pPr>
        <w:keepNext/>
        <w:tabs>
          <w:tab w:val="clear" w:pos="360"/>
          <w:tab w:val="clear" w:pos="720"/>
          <w:tab w:val="clear" w:pos="990"/>
        </w:tabs>
        <w:spacing w:before="0" w:after="240" w:line="240" w:lineRule="auto"/>
        <w:ind w:left="0"/>
        <w:jc w:val="both"/>
        <w:outlineLvl w:val="1"/>
        <w:rPr>
          <w:rFonts w:eastAsia="Times New Roman" w:cs="Arial"/>
          <w:b/>
          <w:bCs/>
          <w:sz w:val="22"/>
          <w:szCs w:val="28"/>
        </w:rPr>
      </w:pPr>
      <w:r w:rsidRPr="00876BD2">
        <w:rPr>
          <w:rFonts w:eastAsia="Times New Roman" w:cs="Arial"/>
          <w:b/>
          <w:bCs/>
          <w:sz w:val="22"/>
          <w:szCs w:val="28"/>
        </w:rPr>
        <w:t>Capital Gains</w:t>
      </w:r>
    </w:p>
    <w:p w:rsid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 xml:space="preserve">Capital Gains Tax is </w:t>
      </w:r>
      <w:r w:rsidR="008B52E2">
        <w:rPr>
          <w:rFonts w:eastAsia="Times New Roman" w:cs="Arial"/>
          <w:bCs/>
          <w:sz w:val="22"/>
        </w:rPr>
        <w:t>10</w:t>
      </w:r>
      <w:r w:rsidRPr="00876BD2">
        <w:rPr>
          <w:rFonts w:eastAsia="Times New Roman" w:cs="Arial"/>
          <w:bCs/>
          <w:sz w:val="22"/>
        </w:rPr>
        <w:t xml:space="preserve">% on all gains </w:t>
      </w:r>
      <w:r w:rsidR="00853E01">
        <w:rPr>
          <w:rFonts w:eastAsia="Times New Roman" w:cs="Arial"/>
          <w:bCs/>
          <w:sz w:val="22"/>
        </w:rPr>
        <w:t>to the extent that any income tax basic rate band is available</w:t>
      </w:r>
      <w:r w:rsidR="00C744E9">
        <w:rPr>
          <w:rFonts w:eastAsia="Times New Roman" w:cs="Arial"/>
          <w:bCs/>
          <w:sz w:val="22"/>
        </w:rPr>
        <w:t>,</w:t>
      </w:r>
      <w:r w:rsidRPr="00876BD2">
        <w:rPr>
          <w:rFonts w:eastAsia="Times New Roman" w:cs="Arial"/>
          <w:bCs/>
          <w:sz w:val="22"/>
        </w:rPr>
        <w:t xml:space="preserve"> </w:t>
      </w:r>
      <w:r w:rsidR="008B52E2">
        <w:rPr>
          <w:rFonts w:eastAsia="Times New Roman" w:cs="Arial"/>
          <w:bCs/>
          <w:sz w:val="22"/>
        </w:rPr>
        <w:t>20</w:t>
      </w:r>
      <w:r w:rsidRPr="00876BD2">
        <w:rPr>
          <w:rFonts w:eastAsia="Times New Roman" w:cs="Arial"/>
          <w:bCs/>
          <w:sz w:val="22"/>
        </w:rPr>
        <w:t>% for gains which are above that figure</w:t>
      </w:r>
      <w:r w:rsidR="008B52E2">
        <w:rPr>
          <w:rFonts w:eastAsia="Times New Roman" w:cs="Arial"/>
          <w:bCs/>
          <w:sz w:val="22"/>
        </w:rPr>
        <w:t xml:space="preserve">, and </w:t>
      </w:r>
      <w:r w:rsidR="00E8410C">
        <w:rPr>
          <w:rFonts w:eastAsia="Times New Roman" w:cs="Arial"/>
          <w:bCs/>
          <w:sz w:val="22"/>
        </w:rPr>
        <w:t xml:space="preserve">18% and </w:t>
      </w:r>
      <w:r w:rsidR="008B52E2">
        <w:rPr>
          <w:rFonts w:eastAsia="Times New Roman" w:cs="Arial"/>
          <w:bCs/>
          <w:sz w:val="22"/>
        </w:rPr>
        <w:t xml:space="preserve">28% </w:t>
      </w:r>
      <w:r w:rsidR="00E8410C">
        <w:rPr>
          <w:rFonts w:eastAsia="Times New Roman" w:cs="Arial"/>
          <w:bCs/>
          <w:sz w:val="22"/>
        </w:rPr>
        <w:t xml:space="preserve">respectively </w:t>
      </w:r>
      <w:r w:rsidR="008B52E2">
        <w:rPr>
          <w:rFonts w:eastAsia="Times New Roman" w:cs="Arial"/>
          <w:bCs/>
          <w:sz w:val="22"/>
        </w:rPr>
        <w:t>on gains from residential property</w:t>
      </w:r>
      <w:r w:rsidR="00E8410C">
        <w:rPr>
          <w:rFonts w:eastAsia="Times New Roman" w:cs="Arial"/>
          <w:bCs/>
          <w:sz w:val="22"/>
        </w:rPr>
        <w:t xml:space="preserve"> and carried interests</w:t>
      </w:r>
      <w:r w:rsidRPr="00876BD2">
        <w:rPr>
          <w:rFonts w:eastAsia="Times New Roman" w:cs="Arial"/>
          <w:bCs/>
          <w:sz w:val="22"/>
        </w:rPr>
        <w:t>.</w:t>
      </w:r>
    </w:p>
    <w:p w:rsidR="00E8410C" w:rsidRPr="00876BD2" w:rsidRDefault="00E8410C" w:rsidP="00876BD2">
      <w:pPr>
        <w:tabs>
          <w:tab w:val="clear" w:pos="360"/>
          <w:tab w:val="clear" w:pos="720"/>
          <w:tab w:val="clear" w:pos="990"/>
        </w:tabs>
        <w:spacing w:before="0" w:line="240" w:lineRule="auto"/>
        <w:ind w:left="0"/>
        <w:jc w:val="both"/>
        <w:rPr>
          <w:rFonts w:eastAsia="Times New Roman" w:cs="Arial"/>
          <w:bCs/>
          <w:sz w:val="22"/>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There is also Entrepreneur’s Relief</w:t>
      </w:r>
      <w:r w:rsidR="00C744E9">
        <w:rPr>
          <w:rFonts w:eastAsia="Times New Roman" w:cs="Arial"/>
          <w:bCs/>
          <w:sz w:val="22"/>
        </w:rPr>
        <w:t xml:space="preserve"> on the sale of a business</w:t>
      </w:r>
      <w:r w:rsidRPr="00876BD2">
        <w:rPr>
          <w:rFonts w:eastAsia="Times New Roman" w:cs="Arial"/>
          <w:bCs/>
          <w:sz w:val="22"/>
        </w:rPr>
        <w:t>, with an effective rate of 10% on gains to a maximum lifetime limit of £10m.</w:t>
      </w:r>
    </w:p>
    <w:p w:rsidR="00876BD2" w:rsidRDefault="00876BD2" w:rsidP="00876BD2">
      <w:pPr>
        <w:tabs>
          <w:tab w:val="clear" w:pos="360"/>
          <w:tab w:val="clear" w:pos="720"/>
          <w:tab w:val="clear" w:pos="990"/>
        </w:tabs>
        <w:spacing w:before="0" w:line="240" w:lineRule="auto"/>
        <w:ind w:left="0"/>
        <w:jc w:val="both"/>
        <w:rPr>
          <w:rFonts w:eastAsia="Times New Roman" w:cs="Arial"/>
          <w:bCs/>
          <w:sz w:val="22"/>
        </w:rPr>
      </w:pPr>
    </w:p>
    <w:p w:rsidR="00E8410C" w:rsidRDefault="00C51D2B" w:rsidP="00876BD2">
      <w:pPr>
        <w:tabs>
          <w:tab w:val="clear" w:pos="360"/>
          <w:tab w:val="clear" w:pos="720"/>
          <w:tab w:val="clear" w:pos="990"/>
        </w:tabs>
        <w:spacing w:before="0" w:line="240" w:lineRule="auto"/>
        <w:ind w:left="0"/>
        <w:jc w:val="both"/>
        <w:rPr>
          <w:rFonts w:eastAsia="Times New Roman" w:cs="Arial"/>
          <w:bCs/>
          <w:sz w:val="22"/>
        </w:rPr>
      </w:pPr>
      <w:r>
        <w:rPr>
          <w:rFonts w:eastAsia="Times New Roman" w:cs="Arial"/>
          <w:bCs/>
          <w:sz w:val="22"/>
        </w:rPr>
        <w:t>Investors’ Relief enables qualifying investors to pay tax on up to £10 million of gains realised after a 3 year holding period at half the usual tax rate i.e. 10% instead of 20%.  The relief potentially</w:t>
      </w:r>
      <w:r w:rsidR="00E13F8A">
        <w:rPr>
          <w:rFonts w:eastAsia="Times New Roman" w:cs="Arial"/>
          <w:bCs/>
          <w:sz w:val="22"/>
        </w:rPr>
        <w:t xml:space="preserve"> applies to investments in new issue unlisted ordinary shares (including shares listed on AIM) made on or after 17</w:t>
      </w:r>
      <w:r w:rsidR="009F2B40" w:rsidRPr="00DE1CA6">
        <w:rPr>
          <w:rFonts w:eastAsia="Times New Roman" w:cs="Arial"/>
          <w:bCs/>
          <w:sz w:val="22"/>
          <w:vertAlign w:val="superscript"/>
        </w:rPr>
        <w:t>th</w:t>
      </w:r>
      <w:r w:rsidR="009F2B40">
        <w:rPr>
          <w:rFonts w:eastAsia="Times New Roman" w:cs="Arial"/>
          <w:bCs/>
          <w:sz w:val="22"/>
        </w:rPr>
        <w:t xml:space="preserve"> </w:t>
      </w:r>
      <w:r w:rsidR="00E13F8A">
        <w:rPr>
          <w:rFonts w:eastAsia="Times New Roman" w:cs="Arial"/>
          <w:bCs/>
          <w:sz w:val="22"/>
        </w:rPr>
        <w:t>March 2016.</w:t>
      </w:r>
    </w:p>
    <w:p w:rsidR="00E8410C" w:rsidRPr="00876BD2" w:rsidRDefault="00E8410C" w:rsidP="00876BD2">
      <w:pPr>
        <w:tabs>
          <w:tab w:val="clear" w:pos="360"/>
          <w:tab w:val="clear" w:pos="720"/>
          <w:tab w:val="clear" w:pos="990"/>
        </w:tabs>
        <w:spacing w:before="0" w:line="240" w:lineRule="auto"/>
        <w:ind w:left="0"/>
        <w:jc w:val="both"/>
        <w:rPr>
          <w:rFonts w:eastAsia="Times New Roman" w:cs="Arial"/>
          <w:bCs/>
          <w:sz w:val="22"/>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The individual has a tax allowance of £11,</w:t>
      </w:r>
      <w:r w:rsidR="008D2772" w:rsidDel="008D2772">
        <w:rPr>
          <w:rFonts w:eastAsia="Times New Roman" w:cs="Arial"/>
          <w:bCs/>
          <w:sz w:val="22"/>
        </w:rPr>
        <w:t xml:space="preserve"> </w:t>
      </w:r>
      <w:r w:rsidR="00791CC7">
        <w:rPr>
          <w:rFonts w:eastAsia="Times New Roman" w:cs="Arial"/>
          <w:bCs/>
          <w:sz w:val="22"/>
        </w:rPr>
        <w:t>7</w:t>
      </w:r>
      <w:r w:rsidRPr="00876BD2">
        <w:rPr>
          <w:rFonts w:eastAsia="Times New Roman" w:cs="Arial"/>
          <w:bCs/>
          <w:sz w:val="22"/>
        </w:rPr>
        <w:t>00 per tax year on all gains.</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p>
    <w:p w:rsidR="00876BD2" w:rsidRPr="00876BD2" w:rsidRDefault="00876BD2" w:rsidP="005A6E0A">
      <w:pPr>
        <w:keepNext/>
        <w:tabs>
          <w:tab w:val="clear" w:pos="360"/>
          <w:tab w:val="clear" w:pos="720"/>
          <w:tab w:val="clear" w:pos="990"/>
        </w:tabs>
        <w:spacing w:before="0" w:after="240" w:line="240" w:lineRule="auto"/>
        <w:ind w:left="0"/>
        <w:jc w:val="both"/>
        <w:outlineLvl w:val="1"/>
        <w:rPr>
          <w:rFonts w:eastAsia="Times New Roman" w:cs="Arial"/>
          <w:b/>
          <w:sz w:val="22"/>
          <w:szCs w:val="28"/>
        </w:rPr>
      </w:pPr>
      <w:r w:rsidRPr="00876BD2">
        <w:rPr>
          <w:rFonts w:eastAsia="Times New Roman" w:cs="Arial"/>
          <w:b/>
          <w:sz w:val="22"/>
          <w:szCs w:val="28"/>
        </w:rPr>
        <w:t>Income Tax</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Income Tax is payable by individuals and is charged on an annual basis, the tax year running from 6</w:t>
      </w:r>
      <w:r w:rsidRPr="00876BD2">
        <w:rPr>
          <w:rFonts w:eastAsia="Times New Roman" w:cs="Arial"/>
          <w:bCs/>
          <w:sz w:val="22"/>
          <w:vertAlign w:val="superscript"/>
        </w:rPr>
        <w:t>th</w:t>
      </w:r>
      <w:r w:rsidRPr="00876BD2">
        <w:rPr>
          <w:rFonts w:eastAsia="Times New Roman" w:cs="Arial"/>
          <w:bCs/>
          <w:sz w:val="22"/>
        </w:rPr>
        <w:t xml:space="preserve"> April to 5</w:t>
      </w:r>
      <w:r w:rsidRPr="00876BD2">
        <w:rPr>
          <w:rFonts w:eastAsia="Times New Roman" w:cs="Arial"/>
          <w:bCs/>
          <w:sz w:val="22"/>
          <w:vertAlign w:val="superscript"/>
        </w:rPr>
        <w:t>th</w:t>
      </w:r>
      <w:r w:rsidRPr="00876BD2">
        <w:rPr>
          <w:rFonts w:eastAsia="Times New Roman" w:cs="Arial"/>
          <w:bCs/>
          <w:sz w:val="22"/>
        </w:rPr>
        <w:t xml:space="preserve"> April.  The tax rates for 20</w:t>
      </w:r>
      <w:r w:rsidR="001A11E7">
        <w:rPr>
          <w:rFonts w:eastAsia="Times New Roman" w:cs="Arial"/>
          <w:bCs/>
          <w:sz w:val="22"/>
        </w:rPr>
        <w:t>1</w:t>
      </w:r>
      <w:r w:rsidR="00791CC7">
        <w:rPr>
          <w:rFonts w:eastAsia="Times New Roman" w:cs="Arial"/>
          <w:bCs/>
          <w:sz w:val="22"/>
        </w:rPr>
        <w:t>8</w:t>
      </w:r>
      <w:r w:rsidRPr="00876BD2">
        <w:rPr>
          <w:rFonts w:eastAsia="Times New Roman" w:cs="Arial"/>
          <w:bCs/>
          <w:sz w:val="22"/>
        </w:rPr>
        <w:t>/20</w:t>
      </w:r>
      <w:r w:rsidR="001A11E7">
        <w:rPr>
          <w:rFonts w:eastAsia="Times New Roman" w:cs="Arial"/>
          <w:bCs/>
          <w:sz w:val="22"/>
        </w:rPr>
        <w:t>1</w:t>
      </w:r>
      <w:r w:rsidR="00791CC7">
        <w:rPr>
          <w:rFonts w:eastAsia="Times New Roman" w:cs="Arial"/>
          <w:bCs/>
          <w:sz w:val="22"/>
        </w:rPr>
        <w:t>9</w:t>
      </w:r>
      <w:r w:rsidRPr="00876BD2">
        <w:rPr>
          <w:rFonts w:eastAsia="Times New Roman" w:cs="Arial"/>
          <w:bCs/>
          <w:sz w:val="22"/>
        </w:rPr>
        <w:t xml:space="preserve"> for income above the personal allowance of £1</w:t>
      </w:r>
      <w:r w:rsidR="001A11E7">
        <w:rPr>
          <w:rFonts w:eastAsia="Times New Roman" w:cs="Arial"/>
          <w:bCs/>
          <w:sz w:val="22"/>
        </w:rPr>
        <w:t>1</w:t>
      </w:r>
      <w:r w:rsidRPr="00876BD2">
        <w:rPr>
          <w:rFonts w:eastAsia="Times New Roman" w:cs="Arial"/>
          <w:bCs/>
          <w:sz w:val="22"/>
        </w:rPr>
        <w:t>,</w:t>
      </w:r>
      <w:r w:rsidR="00791CC7">
        <w:rPr>
          <w:rFonts w:eastAsia="Times New Roman" w:cs="Arial"/>
          <w:bCs/>
          <w:sz w:val="22"/>
        </w:rPr>
        <w:t>850</w:t>
      </w:r>
      <w:r w:rsidRPr="00876BD2">
        <w:rPr>
          <w:rFonts w:eastAsia="Times New Roman" w:cs="Arial"/>
          <w:bCs/>
          <w:sz w:val="22"/>
        </w:rPr>
        <w:t xml:space="preserve"> are:-</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Basic rate at 20% 0</w:t>
      </w:r>
      <w:r w:rsidR="00291FD2">
        <w:rPr>
          <w:rFonts w:eastAsia="Times New Roman" w:cs="Arial"/>
          <w:bCs/>
          <w:sz w:val="22"/>
        </w:rPr>
        <w:t xml:space="preserve"> </w:t>
      </w:r>
      <w:r w:rsidRPr="00876BD2">
        <w:rPr>
          <w:rFonts w:eastAsia="Times New Roman" w:cs="Arial"/>
          <w:bCs/>
          <w:sz w:val="22"/>
        </w:rPr>
        <w:t>- £</w:t>
      </w:r>
      <w:r w:rsidR="008D2772">
        <w:rPr>
          <w:rFonts w:eastAsia="Times New Roman" w:cs="Arial"/>
          <w:bCs/>
          <w:sz w:val="22"/>
        </w:rPr>
        <w:t>3</w:t>
      </w:r>
      <w:r w:rsidR="00791CC7">
        <w:rPr>
          <w:rFonts w:eastAsia="Times New Roman" w:cs="Arial"/>
          <w:bCs/>
          <w:sz w:val="22"/>
        </w:rPr>
        <w:t>4</w:t>
      </w:r>
      <w:r w:rsidR="008D2772">
        <w:rPr>
          <w:rFonts w:eastAsia="Times New Roman" w:cs="Arial"/>
          <w:bCs/>
          <w:sz w:val="22"/>
        </w:rPr>
        <w:t>,500</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Higher rate at 40% from £</w:t>
      </w:r>
      <w:r w:rsidR="00964F06">
        <w:rPr>
          <w:rFonts w:eastAsia="Times New Roman" w:cs="Arial"/>
          <w:bCs/>
          <w:sz w:val="22"/>
        </w:rPr>
        <w:t>3</w:t>
      </w:r>
      <w:r w:rsidR="00791CC7">
        <w:rPr>
          <w:rFonts w:eastAsia="Times New Roman" w:cs="Arial"/>
          <w:bCs/>
          <w:sz w:val="22"/>
        </w:rPr>
        <w:t>4</w:t>
      </w:r>
      <w:r w:rsidR="00964F06">
        <w:rPr>
          <w:rFonts w:eastAsia="Times New Roman" w:cs="Arial"/>
          <w:bCs/>
          <w:sz w:val="22"/>
        </w:rPr>
        <w:t>,500</w:t>
      </w:r>
      <w:r w:rsidRPr="00876BD2">
        <w:rPr>
          <w:rFonts w:eastAsia="Times New Roman" w:cs="Arial"/>
          <w:bCs/>
          <w:sz w:val="22"/>
        </w:rPr>
        <w:t xml:space="preserve"> - £150,000</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bCs/>
          <w:sz w:val="22"/>
        </w:rPr>
      </w:pPr>
      <w:r w:rsidRPr="00876BD2">
        <w:rPr>
          <w:rFonts w:eastAsia="Times New Roman" w:cs="Arial"/>
          <w:bCs/>
          <w:sz w:val="22"/>
        </w:rPr>
        <w:t xml:space="preserve">Additional at 45% from £150,000 or above </w:t>
      </w:r>
    </w:p>
    <w:p w:rsidR="008D2772" w:rsidRDefault="008D2772" w:rsidP="00876BD2">
      <w:pPr>
        <w:tabs>
          <w:tab w:val="clear" w:pos="360"/>
          <w:tab w:val="clear" w:pos="720"/>
          <w:tab w:val="clear" w:pos="990"/>
        </w:tabs>
        <w:spacing w:before="0" w:line="240" w:lineRule="auto"/>
        <w:ind w:left="0"/>
        <w:jc w:val="both"/>
        <w:rPr>
          <w:rFonts w:eastAsia="Times New Roman" w:cs="Arial"/>
          <w:sz w:val="22"/>
        </w:rPr>
      </w:pPr>
    </w:p>
    <w:p w:rsidR="008D2772" w:rsidRDefault="009356EC" w:rsidP="00876BD2">
      <w:pPr>
        <w:tabs>
          <w:tab w:val="clear" w:pos="360"/>
          <w:tab w:val="clear" w:pos="720"/>
          <w:tab w:val="clear" w:pos="990"/>
        </w:tabs>
        <w:spacing w:before="0" w:line="240" w:lineRule="auto"/>
        <w:ind w:left="0"/>
        <w:jc w:val="both"/>
        <w:rPr>
          <w:rFonts w:eastAsia="Times New Roman" w:cs="Arial"/>
          <w:sz w:val="22"/>
        </w:rPr>
      </w:pPr>
      <w:r>
        <w:rPr>
          <w:rFonts w:eastAsia="Times New Roman" w:cs="Arial"/>
          <w:sz w:val="22"/>
        </w:rPr>
        <w:t>In 2018/19</w:t>
      </w:r>
      <w:r w:rsidR="00A05DE7">
        <w:rPr>
          <w:rFonts w:eastAsia="Times New Roman" w:cs="Arial"/>
          <w:sz w:val="22"/>
        </w:rPr>
        <w:t xml:space="preserve"> the band o</w:t>
      </w:r>
      <w:r w:rsidR="00F9694D">
        <w:rPr>
          <w:rFonts w:eastAsia="Times New Roman" w:cs="Arial"/>
          <w:sz w:val="22"/>
        </w:rPr>
        <w:t>f</w:t>
      </w:r>
      <w:r w:rsidR="00A05DE7">
        <w:rPr>
          <w:rFonts w:eastAsia="Times New Roman" w:cs="Arial"/>
          <w:sz w:val="22"/>
        </w:rPr>
        <w:t xml:space="preserve"> income taxable at the basic rate will be different for taxpayers who are resident in </w:t>
      </w:r>
      <w:r w:rsidR="002E2F60">
        <w:rPr>
          <w:rFonts w:eastAsia="Times New Roman" w:cs="Arial"/>
          <w:sz w:val="22"/>
        </w:rPr>
        <w:t>Scotland to residents elsewhere in the UK.  The Scottish government has decided to reduce the band of income taxable at the basic rate to £31,500 so that the threshold at which the 40% band applies remains at £43,000.</w:t>
      </w:r>
    </w:p>
    <w:p w:rsidR="00CC46EA" w:rsidRPr="00876BD2" w:rsidRDefault="00CC46EA" w:rsidP="00876BD2">
      <w:pPr>
        <w:tabs>
          <w:tab w:val="clear" w:pos="360"/>
          <w:tab w:val="clear" w:pos="720"/>
          <w:tab w:val="clear" w:pos="990"/>
        </w:tabs>
        <w:spacing w:before="0" w:line="240" w:lineRule="auto"/>
        <w:ind w:left="0"/>
        <w:jc w:val="both"/>
        <w:rPr>
          <w:rFonts w:eastAsia="Times New Roman" w:cs="Arial"/>
          <w:sz w:val="22"/>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rPr>
      </w:pPr>
      <w:r w:rsidRPr="00876BD2">
        <w:rPr>
          <w:rFonts w:eastAsia="Times New Roman" w:cs="Arial"/>
          <w:b/>
          <w:bCs/>
          <w:sz w:val="22"/>
        </w:rPr>
        <w:t>Inheritance Tax</w:t>
      </w:r>
      <w:r w:rsidRPr="00876BD2">
        <w:rPr>
          <w:rFonts w:eastAsia="Times New Roman" w:cs="Arial"/>
          <w:b/>
          <w:bCs/>
          <w:sz w:val="24"/>
        </w:rPr>
        <w:t xml:space="preserve"> </w:t>
      </w:r>
      <w:r w:rsidRPr="00876BD2">
        <w:rPr>
          <w:rFonts w:eastAsia="Times New Roman" w:cs="Arial"/>
          <w:sz w:val="22"/>
        </w:rPr>
        <w:t>(on donor/testator) is:-</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rPr>
      </w:pP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rPr>
      </w:pPr>
      <w:r w:rsidRPr="00876BD2">
        <w:rPr>
          <w:rFonts w:eastAsia="Times New Roman" w:cs="Arial"/>
          <w:sz w:val="22"/>
        </w:rPr>
        <w:t>Nil rate: £325,000</w:t>
      </w:r>
    </w:p>
    <w:p w:rsidR="00876BD2" w:rsidRPr="00876BD2" w:rsidRDefault="00876BD2" w:rsidP="00876BD2">
      <w:pPr>
        <w:tabs>
          <w:tab w:val="clear" w:pos="360"/>
          <w:tab w:val="clear" w:pos="720"/>
          <w:tab w:val="clear" w:pos="990"/>
        </w:tabs>
        <w:spacing w:before="0" w:line="240" w:lineRule="auto"/>
        <w:ind w:left="0"/>
        <w:jc w:val="both"/>
        <w:rPr>
          <w:rFonts w:eastAsia="Times New Roman" w:cs="Arial"/>
          <w:sz w:val="22"/>
        </w:rPr>
      </w:pPr>
      <w:r w:rsidRPr="00876BD2">
        <w:rPr>
          <w:rFonts w:eastAsia="Times New Roman" w:cs="Arial"/>
          <w:sz w:val="22"/>
        </w:rPr>
        <w:t>20% (life time rates) on transfers</w:t>
      </w:r>
    </w:p>
    <w:p w:rsidR="00876BD2" w:rsidRDefault="00876BD2" w:rsidP="00876BD2">
      <w:pPr>
        <w:tabs>
          <w:tab w:val="clear" w:pos="360"/>
          <w:tab w:val="clear" w:pos="720"/>
          <w:tab w:val="clear" w:pos="990"/>
        </w:tabs>
        <w:spacing w:before="0" w:line="240" w:lineRule="auto"/>
        <w:ind w:left="0"/>
        <w:jc w:val="both"/>
        <w:rPr>
          <w:rFonts w:eastAsia="Times New Roman" w:cs="Arial"/>
          <w:sz w:val="22"/>
        </w:rPr>
      </w:pPr>
      <w:r w:rsidRPr="00876BD2">
        <w:rPr>
          <w:rFonts w:eastAsia="Times New Roman" w:cs="Arial"/>
          <w:sz w:val="22"/>
        </w:rPr>
        <w:t>40% (on death)</w:t>
      </w:r>
    </w:p>
    <w:p w:rsidR="00A05DE7" w:rsidRDefault="00A05DE7" w:rsidP="00876BD2">
      <w:pPr>
        <w:tabs>
          <w:tab w:val="clear" w:pos="360"/>
          <w:tab w:val="clear" w:pos="720"/>
          <w:tab w:val="clear" w:pos="990"/>
        </w:tabs>
        <w:spacing w:before="0" w:line="240" w:lineRule="auto"/>
        <w:ind w:left="0"/>
        <w:jc w:val="both"/>
        <w:rPr>
          <w:rFonts w:eastAsia="Times New Roman" w:cs="Arial"/>
          <w:sz w:val="22"/>
        </w:rPr>
      </w:pPr>
    </w:p>
    <w:p w:rsidR="004E4254" w:rsidRPr="00EF4473" w:rsidRDefault="004E4254" w:rsidP="00876BD2">
      <w:pPr>
        <w:tabs>
          <w:tab w:val="clear" w:pos="360"/>
          <w:tab w:val="clear" w:pos="720"/>
          <w:tab w:val="clear" w:pos="990"/>
        </w:tabs>
        <w:spacing w:before="0" w:line="240" w:lineRule="auto"/>
        <w:ind w:left="0"/>
        <w:jc w:val="both"/>
        <w:rPr>
          <w:rFonts w:eastAsia="Times New Roman" w:cs="Arial"/>
          <w:b/>
          <w:sz w:val="22"/>
        </w:rPr>
      </w:pPr>
      <w:r>
        <w:rPr>
          <w:rFonts w:eastAsia="Times New Roman" w:cs="Arial"/>
          <w:b/>
          <w:sz w:val="22"/>
        </w:rPr>
        <w:lastRenderedPageBreak/>
        <w:t>IHT residence nil rate band</w:t>
      </w:r>
    </w:p>
    <w:p w:rsidR="004E4254" w:rsidRDefault="004E4254" w:rsidP="00876BD2">
      <w:pPr>
        <w:tabs>
          <w:tab w:val="clear" w:pos="360"/>
          <w:tab w:val="clear" w:pos="720"/>
          <w:tab w:val="clear" w:pos="990"/>
        </w:tabs>
        <w:spacing w:before="0" w:line="240" w:lineRule="auto"/>
        <w:ind w:left="0"/>
        <w:jc w:val="both"/>
        <w:rPr>
          <w:rFonts w:eastAsia="Times New Roman" w:cs="Arial"/>
          <w:sz w:val="22"/>
        </w:rPr>
      </w:pPr>
    </w:p>
    <w:p w:rsidR="00A05DE7" w:rsidRDefault="00964F06" w:rsidP="00876BD2">
      <w:pPr>
        <w:tabs>
          <w:tab w:val="clear" w:pos="360"/>
          <w:tab w:val="clear" w:pos="720"/>
          <w:tab w:val="clear" w:pos="990"/>
        </w:tabs>
        <w:spacing w:before="0" w:line="240" w:lineRule="auto"/>
        <w:ind w:left="0"/>
        <w:jc w:val="both"/>
        <w:rPr>
          <w:rFonts w:eastAsia="Times New Roman" w:cs="Arial"/>
          <w:sz w:val="22"/>
        </w:rPr>
      </w:pPr>
      <w:r>
        <w:rPr>
          <w:rFonts w:eastAsia="Times New Roman" w:cs="Arial"/>
          <w:sz w:val="22"/>
        </w:rPr>
        <w:t>A</w:t>
      </w:r>
      <w:r w:rsidR="006F31EE">
        <w:rPr>
          <w:rFonts w:eastAsia="Times New Roman" w:cs="Arial"/>
          <w:sz w:val="22"/>
        </w:rPr>
        <w:t xml:space="preserve">n additional nil rate band </w:t>
      </w:r>
      <w:r>
        <w:rPr>
          <w:rFonts w:eastAsia="Times New Roman" w:cs="Arial"/>
          <w:sz w:val="22"/>
        </w:rPr>
        <w:t xml:space="preserve">has been introduced </w:t>
      </w:r>
      <w:r w:rsidR="006F31EE">
        <w:rPr>
          <w:rFonts w:eastAsia="Times New Roman" w:cs="Arial"/>
          <w:sz w:val="22"/>
        </w:rPr>
        <w:t xml:space="preserve">for deaths on or after 6 April 2017, where an interest in a main residence passes to direct descendants.  The amount of relief is being phased in over four years; starting at </w:t>
      </w:r>
      <w:r w:rsidR="004E4254">
        <w:rPr>
          <w:rFonts w:eastAsia="Times New Roman" w:cs="Arial"/>
          <w:sz w:val="22"/>
        </w:rPr>
        <w:t>£100,000 in the first year and rising to £175,000 for 2020/21.  For many married couples and civil partners the relief is effectively doubled as each individual has a main nil rate band and each will potentially benefit from the residence nil rate band.</w:t>
      </w:r>
    </w:p>
    <w:p w:rsidR="004E4254" w:rsidRDefault="004E4254" w:rsidP="00876BD2">
      <w:pPr>
        <w:tabs>
          <w:tab w:val="clear" w:pos="360"/>
          <w:tab w:val="clear" w:pos="720"/>
          <w:tab w:val="clear" w:pos="990"/>
        </w:tabs>
        <w:spacing w:before="0" w:line="240" w:lineRule="auto"/>
        <w:ind w:left="0"/>
        <w:jc w:val="both"/>
        <w:rPr>
          <w:rFonts w:eastAsia="Times New Roman" w:cs="Arial"/>
          <w:sz w:val="22"/>
        </w:rPr>
      </w:pPr>
    </w:p>
    <w:p w:rsidR="004E4254" w:rsidRDefault="004E4254" w:rsidP="00876BD2">
      <w:pPr>
        <w:tabs>
          <w:tab w:val="clear" w:pos="360"/>
          <w:tab w:val="clear" w:pos="720"/>
          <w:tab w:val="clear" w:pos="990"/>
        </w:tabs>
        <w:spacing w:before="0" w:line="240" w:lineRule="auto"/>
        <w:ind w:left="0"/>
        <w:jc w:val="both"/>
        <w:rPr>
          <w:rFonts w:eastAsia="Times New Roman" w:cs="Arial"/>
          <w:sz w:val="22"/>
        </w:rPr>
      </w:pPr>
      <w:r>
        <w:rPr>
          <w:rFonts w:eastAsia="Times New Roman" w:cs="Arial"/>
          <w:sz w:val="22"/>
        </w:rPr>
        <w:t>The additional band can only be used in respect of one residential property, which does not have to be the main family home, but must at some point have been a residence of the deceased.  Restrictions apply where estates are in excess of £2 million.</w:t>
      </w:r>
    </w:p>
    <w:p w:rsidR="00177E90" w:rsidRDefault="00177E90" w:rsidP="00876BD2">
      <w:pPr>
        <w:tabs>
          <w:tab w:val="clear" w:pos="360"/>
          <w:tab w:val="clear" w:pos="720"/>
          <w:tab w:val="clear" w:pos="990"/>
        </w:tabs>
        <w:spacing w:before="0" w:line="240" w:lineRule="auto"/>
        <w:ind w:left="0"/>
        <w:jc w:val="both"/>
        <w:rPr>
          <w:rFonts w:eastAsia="Times New Roman" w:cs="Arial"/>
          <w:sz w:val="22"/>
        </w:rPr>
      </w:pPr>
    </w:p>
    <w:p w:rsidR="00876BD2" w:rsidRDefault="004E4254" w:rsidP="00A05DE7">
      <w:pPr>
        <w:tabs>
          <w:tab w:val="clear" w:pos="360"/>
          <w:tab w:val="clear" w:pos="720"/>
          <w:tab w:val="clear" w:pos="990"/>
        </w:tabs>
        <w:spacing w:before="0" w:after="240" w:line="240" w:lineRule="auto"/>
        <w:ind w:left="0"/>
        <w:rPr>
          <w:rFonts w:eastAsia="Times New Roman" w:cs="Times New Roman"/>
          <w:sz w:val="22"/>
        </w:rPr>
      </w:pPr>
      <w:r>
        <w:rPr>
          <w:rFonts w:eastAsia="Times New Roman" w:cs="Times New Roman"/>
          <w:b/>
          <w:sz w:val="22"/>
        </w:rPr>
        <w:t>Non-U</w:t>
      </w:r>
      <w:r w:rsidR="0005596F">
        <w:rPr>
          <w:rFonts w:eastAsia="Times New Roman" w:cs="Times New Roman"/>
          <w:b/>
          <w:sz w:val="22"/>
        </w:rPr>
        <w:t>K</w:t>
      </w:r>
      <w:r>
        <w:rPr>
          <w:rFonts w:eastAsia="Times New Roman" w:cs="Times New Roman"/>
          <w:b/>
          <w:sz w:val="22"/>
        </w:rPr>
        <w:t xml:space="preserve"> domiciles</w:t>
      </w:r>
    </w:p>
    <w:p w:rsidR="004E4254" w:rsidRDefault="009C7366" w:rsidP="00EF4473">
      <w:pPr>
        <w:tabs>
          <w:tab w:val="clear" w:pos="360"/>
          <w:tab w:val="clear" w:pos="720"/>
          <w:tab w:val="clear" w:pos="990"/>
        </w:tabs>
        <w:spacing w:before="0" w:after="240" w:line="240" w:lineRule="auto"/>
        <w:ind w:left="0"/>
        <w:jc w:val="both"/>
        <w:rPr>
          <w:rFonts w:eastAsia="Times New Roman" w:cs="Times New Roman"/>
          <w:sz w:val="22"/>
        </w:rPr>
      </w:pPr>
      <w:r>
        <w:rPr>
          <w:rFonts w:eastAsia="Times New Roman" w:cs="Times New Roman"/>
          <w:sz w:val="22"/>
        </w:rPr>
        <w:t>A number of changes are to be made from 6 April 2017.</w:t>
      </w:r>
    </w:p>
    <w:p w:rsidR="009C7366" w:rsidRDefault="009C7366" w:rsidP="00EF4473">
      <w:pPr>
        <w:pStyle w:val="ListParagraph"/>
        <w:numPr>
          <w:ilvl w:val="0"/>
          <w:numId w:val="26"/>
        </w:numPr>
        <w:tabs>
          <w:tab w:val="clear" w:pos="360"/>
          <w:tab w:val="clear" w:pos="720"/>
          <w:tab w:val="clear" w:pos="990"/>
        </w:tabs>
        <w:spacing w:before="0" w:after="240" w:line="240" w:lineRule="auto"/>
        <w:jc w:val="both"/>
        <w:rPr>
          <w:sz w:val="22"/>
        </w:rPr>
      </w:pPr>
      <w:r>
        <w:rPr>
          <w:sz w:val="22"/>
        </w:rPr>
        <w:t>for individuals who are non-UK domiciled but who have been resident for 15 of the previous 20 tax years or</w:t>
      </w:r>
    </w:p>
    <w:p w:rsidR="009C7366" w:rsidRDefault="009C7366" w:rsidP="00EF4473">
      <w:pPr>
        <w:pStyle w:val="ListParagraph"/>
        <w:numPr>
          <w:ilvl w:val="0"/>
          <w:numId w:val="26"/>
        </w:numPr>
        <w:tabs>
          <w:tab w:val="clear" w:pos="360"/>
          <w:tab w:val="clear" w:pos="720"/>
          <w:tab w:val="clear" w:pos="990"/>
        </w:tabs>
        <w:spacing w:before="0" w:after="240" w:line="240" w:lineRule="auto"/>
        <w:jc w:val="both"/>
        <w:rPr>
          <w:sz w:val="22"/>
        </w:rPr>
      </w:pPr>
      <w:r>
        <w:rPr>
          <w:sz w:val="22"/>
        </w:rPr>
        <w:t>where an individual was born in the UK with a UK domicile of origin and resumes UK residence having obtained a domicile of choice elsewhere.</w:t>
      </w:r>
    </w:p>
    <w:p w:rsidR="009C7366" w:rsidRDefault="009C7366" w:rsidP="00EF4473">
      <w:pPr>
        <w:tabs>
          <w:tab w:val="clear" w:pos="360"/>
          <w:tab w:val="clear" w:pos="720"/>
          <w:tab w:val="clear" w:pos="990"/>
        </w:tabs>
        <w:spacing w:before="0" w:after="240" w:line="240" w:lineRule="auto"/>
        <w:ind w:left="0"/>
        <w:jc w:val="both"/>
        <w:rPr>
          <w:sz w:val="22"/>
        </w:rPr>
      </w:pPr>
      <w:r>
        <w:rPr>
          <w:sz w:val="22"/>
        </w:rPr>
        <w:t>Such individuals will be classed as ‘deemed’ UK domiciles for income tax, CGT and IHT purposes.  For income tax and CGT, a deemed UK domicile will be assessable on worldwide arising income and gains.  They will not be able to access the remittance basis.  For IHT, a deemed UK domicile is chargeable on worldwide assets rather than only on UK assets.</w:t>
      </w:r>
    </w:p>
    <w:p w:rsidR="009C7366" w:rsidRDefault="009C7366" w:rsidP="00EF4473">
      <w:pPr>
        <w:tabs>
          <w:tab w:val="clear" w:pos="360"/>
          <w:tab w:val="clear" w:pos="720"/>
          <w:tab w:val="clear" w:pos="990"/>
        </w:tabs>
        <w:spacing w:before="0" w:after="240" w:line="240" w:lineRule="auto"/>
        <w:ind w:left="0"/>
        <w:jc w:val="both"/>
        <w:rPr>
          <w:sz w:val="22"/>
        </w:rPr>
      </w:pPr>
      <w:r>
        <w:rPr>
          <w:sz w:val="22"/>
        </w:rPr>
        <w:t>Legislation will allow a non-UK domiciled individual who has been taxed on the remittance basis to transfer amounts between overseas mixed fund bank accounts without being subject to the offshore transfer rules.  This will allow the different elements within the accounts to be separated, thereby allowing clean capital to be remitted to the UK in priority to income and gains.</w:t>
      </w:r>
    </w:p>
    <w:p w:rsidR="009C7366" w:rsidRDefault="009C7366" w:rsidP="00EF4473">
      <w:pPr>
        <w:tabs>
          <w:tab w:val="clear" w:pos="360"/>
          <w:tab w:val="clear" w:pos="720"/>
          <w:tab w:val="clear" w:pos="990"/>
        </w:tabs>
        <w:spacing w:before="0" w:after="240" w:line="240" w:lineRule="auto"/>
        <w:ind w:left="0"/>
        <w:jc w:val="both"/>
        <w:rPr>
          <w:sz w:val="22"/>
        </w:rPr>
      </w:pPr>
      <w:r>
        <w:rPr>
          <w:sz w:val="22"/>
        </w:rPr>
        <w:t>The draft legislation also provides that the market value of an asset at 5 April 2017 will be able to be used as the acquisition cost for CGT purposes when</w:t>
      </w:r>
      <w:r w:rsidR="00CC2C74">
        <w:rPr>
          <w:sz w:val="22"/>
        </w:rPr>
        <w:t xml:space="preserve"> computing the gain or loss on its disposal where the asset was situated outside the UK between 16 March 2016 and 5 April 2017.  This will apply to any individual who becomes a deemed UK domicile in April 2017, other than one who is born in the UK with a UK domicile of origin.</w:t>
      </w:r>
    </w:p>
    <w:p w:rsidR="00CC2C74" w:rsidRDefault="00CC2C74" w:rsidP="00EF4473">
      <w:pPr>
        <w:tabs>
          <w:tab w:val="clear" w:pos="360"/>
          <w:tab w:val="clear" w:pos="720"/>
          <w:tab w:val="clear" w:pos="990"/>
        </w:tabs>
        <w:spacing w:before="0" w:after="240" w:line="240" w:lineRule="auto"/>
        <w:ind w:left="0"/>
        <w:jc w:val="both"/>
        <w:rPr>
          <w:sz w:val="22"/>
        </w:rPr>
      </w:pPr>
      <w:r>
        <w:rPr>
          <w:sz w:val="22"/>
        </w:rPr>
        <w:t xml:space="preserve">Non-UK domiciles who set up an overseas resident trust before becoming a deemed UK domicile </w:t>
      </w:r>
      <w:r w:rsidR="00C7285B">
        <w:rPr>
          <w:sz w:val="22"/>
        </w:rPr>
        <w:t>will generally not be taxed on any income and gains retained in that trust and the trust remains non chargeable property for IHT purposes.  However, there are a</w:t>
      </w:r>
      <w:r w:rsidR="00E557A3">
        <w:rPr>
          <w:sz w:val="22"/>
        </w:rPr>
        <w:t xml:space="preserve"> </w:t>
      </w:r>
      <w:r w:rsidR="00C7285B">
        <w:rPr>
          <w:sz w:val="22"/>
        </w:rPr>
        <w:t>number of changes which modify the tax treatment on the occurrence of certain events for settlor interested overseas asset trusts.</w:t>
      </w:r>
    </w:p>
    <w:p w:rsidR="00C7285B" w:rsidRDefault="00C7285B" w:rsidP="00EF4473">
      <w:pPr>
        <w:tabs>
          <w:tab w:val="clear" w:pos="360"/>
          <w:tab w:val="clear" w:pos="720"/>
          <w:tab w:val="clear" w:pos="990"/>
        </w:tabs>
        <w:spacing w:before="0" w:after="240" w:line="240" w:lineRule="auto"/>
        <w:ind w:left="0"/>
        <w:jc w:val="both"/>
        <w:rPr>
          <w:sz w:val="22"/>
        </w:rPr>
      </w:pPr>
      <w:r>
        <w:rPr>
          <w:b/>
          <w:sz w:val="22"/>
        </w:rPr>
        <w:t>UK residential property</w:t>
      </w:r>
    </w:p>
    <w:p w:rsidR="00C7285B" w:rsidRDefault="00C7285B" w:rsidP="00EF4473">
      <w:pPr>
        <w:tabs>
          <w:tab w:val="clear" w:pos="360"/>
          <w:tab w:val="clear" w:pos="720"/>
          <w:tab w:val="clear" w:pos="990"/>
        </w:tabs>
        <w:spacing w:before="0" w:after="240" w:line="240" w:lineRule="auto"/>
        <w:ind w:left="0"/>
        <w:jc w:val="both"/>
        <w:rPr>
          <w:sz w:val="22"/>
        </w:rPr>
      </w:pPr>
      <w:r>
        <w:rPr>
          <w:sz w:val="22"/>
        </w:rPr>
        <w:t>Changes are also proposed</w:t>
      </w:r>
      <w:r w:rsidR="00B46EEC">
        <w:rPr>
          <w:sz w:val="22"/>
        </w:rPr>
        <w:t xml:space="preserve"> for UK residential property.  Currently all residential property in the UK is within the charge to IHT if owned by a UK or non-UK domiciled individual.  It is proposed that all residential properties in the UK will be within the charge to IHT where they are held within an overseas structure.  This charge will apply whether the overseas structure is held by an individual or trust.</w:t>
      </w:r>
    </w:p>
    <w:p w:rsidR="00B46EEC" w:rsidRDefault="0005596F" w:rsidP="00EF4473">
      <w:pPr>
        <w:tabs>
          <w:tab w:val="clear" w:pos="360"/>
          <w:tab w:val="clear" w:pos="720"/>
          <w:tab w:val="clear" w:pos="990"/>
        </w:tabs>
        <w:spacing w:before="0" w:after="240" w:line="240" w:lineRule="auto"/>
        <w:ind w:left="0"/>
        <w:jc w:val="both"/>
        <w:rPr>
          <w:b/>
          <w:sz w:val="22"/>
        </w:rPr>
      </w:pPr>
      <w:r>
        <w:rPr>
          <w:b/>
          <w:sz w:val="22"/>
        </w:rPr>
        <w:t>Business Investment Relief</w:t>
      </w:r>
    </w:p>
    <w:p w:rsidR="0005596F" w:rsidRPr="00EF4473" w:rsidRDefault="0005596F" w:rsidP="00EF4473">
      <w:pPr>
        <w:tabs>
          <w:tab w:val="clear" w:pos="360"/>
          <w:tab w:val="clear" w:pos="720"/>
          <w:tab w:val="clear" w:pos="990"/>
        </w:tabs>
        <w:spacing w:before="0" w:after="240" w:line="240" w:lineRule="auto"/>
        <w:ind w:left="0"/>
        <w:jc w:val="both"/>
        <w:rPr>
          <w:sz w:val="22"/>
        </w:rPr>
      </w:pPr>
      <w:r>
        <w:rPr>
          <w:sz w:val="22"/>
        </w:rPr>
        <w:t xml:space="preserve">The government will change the rules for the Business Investment Relief scheme from April 2017 to make it easier for non-UK domiciled individuals, who are taxed on the </w:t>
      </w:r>
      <w:r>
        <w:rPr>
          <w:sz w:val="22"/>
        </w:rPr>
        <w:lastRenderedPageBreak/>
        <w:t>remittance basis, to bring offshore money into the UK for the purpose of investing in UK businesses.  The government will continue to consider further improvements to the rules for the scheme to attract more capital investment in UK businesses by non-UK domiciled individuals.</w:t>
      </w:r>
    </w:p>
    <w:p w:rsidR="000C45A4" w:rsidRPr="00876BD2" w:rsidRDefault="000C45A4" w:rsidP="00DE1CA6">
      <w:pPr>
        <w:tabs>
          <w:tab w:val="clear" w:pos="360"/>
          <w:tab w:val="clear" w:pos="720"/>
          <w:tab w:val="clear" w:pos="990"/>
        </w:tabs>
        <w:spacing w:before="0" w:after="240" w:line="240" w:lineRule="auto"/>
        <w:ind w:left="0"/>
        <w:rPr>
          <w:rFonts w:eastAsia="Times New Roman" w:cs="Times New Roman"/>
          <w:sz w:val="22"/>
        </w:rPr>
      </w:pPr>
      <w:r>
        <w:rPr>
          <w:rFonts w:eastAsia="Times New Roman" w:cs="Times New Roman"/>
          <w:sz w:val="22"/>
        </w:rPr>
        <w:t>These notes are intended for guidance only.  Professional advice should always be obtained.</w:t>
      </w:r>
    </w:p>
    <w:sectPr w:rsidR="000C45A4" w:rsidRPr="00876BD2" w:rsidSect="00177E90">
      <w:headerReference w:type="default" r:id="rId8"/>
      <w:footerReference w:type="default" r:id="rId9"/>
      <w:pgSz w:w="11906" w:h="16838"/>
      <w:pgMar w:top="1008" w:right="1800" w:bottom="864" w:left="152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C7" w:rsidRDefault="00791CC7" w:rsidP="008E705E">
      <w:pPr>
        <w:spacing w:before="0" w:line="240" w:lineRule="auto"/>
      </w:pPr>
      <w:r>
        <w:separator/>
      </w:r>
    </w:p>
  </w:endnote>
  <w:endnote w:type="continuationSeparator" w:id="0">
    <w:p w:rsidR="00791CC7" w:rsidRDefault="00791CC7" w:rsidP="008E70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C7" w:rsidRPr="00867DA9" w:rsidRDefault="00791CC7" w:rsidP="00867DA9">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C7" w:rsidRDefault="00791CC7" w:rsidP="008E705E">
      <w:pPr>
        <w:spacing w:before="0" w:line="240" w:lineRule="auto"/>
      </w:pPr>
      <w:r>
        <w:separator/>
      </w:r>
    </w:p>
  </w:footnote>
  <w:footnote w:type="continuationSeparator" w:id="0">
    <w:p w:rsidR="00791CC7" w:rsidRDefault="00791CC7" w:rsidP="008E70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C7" w:rsidRDefault="00791CC7" w:rsidP="008E705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D2B"/>
    <w:multiLevelType w:val="hybridMultilevel"/>
    <w:tmpl w:val="E7DA1794"/>
    <w:lvl w:ilvl="0" w:tplc="413C303C">
      <w:start w:val="1"/>
      <w:numFmt w:val="lowerLetter"/>
      <w:lvlText w:val="(%1)"/>
      <w:lvlJc w:val="left"/>
      <w:pPr>
        <w:tabs>
          <w:tab w:val="num" w:pos="780"/>
        </w:tabs>
        <w:ind w:left="780" w:hanging="420"/>
      </w:pPr>
      <w:rPr>
        <w:rFonts w:hint="default"/>
      </w:rPr>
    </w:lvl>
    <w:lvl w:ilvl="1" w:tplc="F566E57A">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213B8"/>
    <w:multiLevelType w:val="hybridMultilevel"/>
    <w:tmpl w:val="4B8ED9E4"/>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CC961B0"/>
    <w:multiLevelType w:val="multilevel"/>
    <w:tmpl w:val="8070AA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D095334"/>
    <w:multiLevelType w:val="hybridMultilevel"/>
    <w:tmpl w:val="57C6C01C"/>
    <w:lvl w:ilvl="0" w:tplc="3DF65538">
      <w:start w:val="2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C61F1"/>
    <w:multiLevelType w:val="hybridMultilevel"/>
    <w:tmpl w:val="3B7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2388D"/>
    <w:multiLevelType w:val="hybridMultilevel"/>
    <w:tmpl w:val="12D4A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E22A6"/>
    <w:multiLevelType w:val="hybridMultilevel"/>
    <w:tmpl w:val="750479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B06CA"/>
    <w:multiLevelType w:val="hybridMultilevel"/>
    <w:tmpl w:val="2E7A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F6011"/>
    <w:multiLevelType w:val="hybridMultilevel"/>
    <w:tmpl w:val="3C4CA79E"/>
    <w:lvl w:ilvl="0" w:tplc="982A2978">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6"/>
  </w:num>
  <w:num w:numId="20">
    <w:abstractNumId w:val="0"/>
  </w:num>
  <w:num w:numId="21">
    <w:abstractNumId w:val="8"/>
  </w:num>
  <w:num w:numId="22">
    <w:abstractNumId w:val="5"/>
  </w:num>
  <w:num w:numId="23">
    <w:abstractNumId w:val="1"/>
  </w:num>
  <w:num w:numId="24">
    <w:abstractNumId w:val="3"/>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D2"/>
    <w:rsid w:val="00000298"/>
    <w:rsid w:val="00016982"/>
    <w:rsid w:val="00025766"/>
    <w:rsid w:val="0005596F"/>
    <w:rsid w:val="00065AC1"/>
    <w:rsid w:val="0007607B"/>
    <w:rsid w:val="00083ED4"/>
    <w:rsid w:val="00086050"/>
    <w:rsid w:val="0009254B"/>
    <w:rsid w:val="000B40DF"/>
    <w:rsid w:val="000B5EB9"/>
    <w:rsid w:val="000C45A4"/>
    <w:rsid w:val="000D3A4D"/>
    <w:rsid w:val="000F04D1"/>
    <w:rsid w:val="000F2549"/>
    <w:rsid w:val="00103222"/>
    <w:rsid w:val="00110BBF"/>
    <w:rsid w:val="0011332B"/>
    <w:rsid w:val="001167BF"/>
    <w:rsid w:val="00135F19"/>
    <w:rsid w:val="00166811"/>
    <w:rsid w:val="00177E90"/>
    <w:rsid w:val="00196900"/>
    <w:rsid w:val="001A11E7"/>
    <w:rsid w:val="001D1034"/>
    <w:rsid w:val="001F19E6"/>
    <w:rsid w:val="00203E6F"/>
    <w:rsid w:val="0024086D"/>
    <w:rsid w:val="00242FC7"/>
    <w:rsid w:val="00272C68"/>
    <w:rsid w:val="00291FD2"/>
    <w:rsid w:val="002D288F"/>
    <w:rsid w:val="002E2F60"/>
    <w:rsid w:val="003137AA"/>
    <w:rsid w:val="00313C32"/>
    <w:rsid w:val="00335344"/>
    <w:rsid w:val="0034601A"/>
    <w:rsid w:val="003633AF"/>
    <w:rsid w:val="00372FF0"/>
    <w:rsid w:val="00375BC6"/>
    <w:rsid w:val="00404082"/>
    <w:rsid w:val="00426372"/>
    <w:rsid w:val="0045294B"/>
    <w:rsid w:val="00466B54"/>
    <w:rsid w:val="004E4254"/>
    <w:rsid w:val="004E653B"/>
    <w:rsid w:val="005254A4"/>
    <w:rsid w:val="00557331"/>
    <w:rsid w:val="005670E9"/>
    <w:rsid w:val="005678F3"/>
    <w:rsid w:val="0057157C"/>
    <w:rsid w:val="005A6E0A"/>
    <w:rsid w:val="005F1A02"/>
    <w:rsid w:val="005F1BE5"/>
    <w:rsid w:val="005F1E13"/>
    <w:rsid w:val="005F2FD5"/>
    <w:rsid w:val="00607A87"/>
    <w:rsid w:val="00611C5C"/>
    <w:rsid w:val="00616E71"/>
    <w:rsid w:val="006220FB"/>
    <w:rsid w:val="00624B09"/>
    <w:rsid w:val="006545F6"/>
    <w:rsid w:val="0066303D"/>
    <w:rsid w:val="00692112"/>
    <w:rsid w:val="006D15E1"/>
    <w:rsid w:val="006E09C2"/>
    <w:rsid w:val="006F31EE"/>
    <w:rsid w:val="00723D59"/>
    <w:rsid w:val="0075719F"/>
    <w:rsid w:val="00791CC7"/>
    <w:rsid w:val="007A7F41"/>
    <w:rsid w:val="007B5777"/>
    <w:rsid w:val="007B713D"/>
    <w:rsid w:val="007C482D"/>
    <w:rsid w:val="007C71A8"/>
    <w:rsid w:val="007D2508"/>
    <w:rsid w:val="007D711B"/>
    <w:rsid w:val="007F113A"/>
    <w:rsid w:val="00822394"/>
    <w:rsid w:val="00832C14"/>
    <w:rsid w:val="00836FFC"/>
    <w:rsid w:val="00840BA1"/>
    <w:rsid w:val="008457CE"/>
    <w:rsid w:val="00853E01"/>
    <w:rsid w:val="00867DA9"/>
    <w:rsid w:val="00876BD2"/>
    <w:rsid w:val="008A0DFC"/>
    <w:rsid w:val="008B52E2"/>
    <w:rsid w:val="008C66FF"/>
    <w:rsid w:val="008D2772"/>
    <w:rsid w:val="008E3771"/>
    <w:rsid w:val="008E705E"/>
    <w:rsid w:val="009003B7"/>
    <w:rsid w:val="009136AD"/>
    <w:rsid w:val="009356EC"/>
    <w:rsid w:val="00942D6A"/>
    <w:rsid w:val="0094465C"/>
    <w:rsid w:val="00964F06"/>
    <w:rsid w:val="009B0851"/>
    <w:rsid w:val="009B4A56"/>
    <w:rsid w:val="009C1707"/>
    <w:rsid w:val="009C7366"/>
    <w:rsid w:val="009D2733"/>
    <w:rsid w:val="009D386A"/>
    <w:rsid w:val="009F2B40"/>
    <w:rsid w:val="00A05DE7"/>
    <w:rsid w:val="00A23339"/>
    <w:rsid w:val="00A44A76"/>
    <w:rsid w:val="00A45DAC"/>
    <w:rsid w:val="00A5312D"/>
    <w:rsid w:val="00A56C25"/>
    <w:rsid w:val="00A7760C"/>
    <w:rsid w:val="00A838CD"/>
    <w:rsid w:val="00A87622"/>
    <w:rsid w:val="00AD0837"/>
    <w:rsid w:val="00AD60F4"/>
    <w:rsid w:val="00AE0342"/>
    <w:rsid w:val="00B0123C"/>
    <w:rsid w:val="00B06175"/>
    <w:rsid w:val="00B10DA9"/>
    <w:rsid w:val="00B20448"/>
    <w:rsid w:val="00B20B24"/>
    <w:rsid w:val="00B46EEC"/>
    <w:rsid w:val="00B54460"/>
    <w:rsid w:val="00B60D64"/>
    <w:rsid w:val="00B97C50"/>
    <w:rsid w:val="00BA2EE9"/>
    <w:rsid w:val="00BA58CD"/>
    <w:rsid w:val="00BB000C"/>
    <w:rsid w:val="00BB5D02"/>
    <w:rsid w:val="00BB7C9D"/>
    <w:rsid w:val="00BE68C4"/>
    <w:rsid w:val="00C238D9"/>
    <w:rsid w:val="00C26384"/>
    <w:rsid w:val="00C51D2B"/>
    <w:rsid w:val="00C56393"/>
    <w:rsid w:val="00C62359"/>
    <w:rsid w:val="00C7285B"/>
    <w:rsid w:val="00C744E9"/>
    <w:rsid w:val="00C804CF"/>
    <w:rsid w:val="00C85EAF"/>
    <w:rsid w:val="00C93BFA"/>
    <w:rsid w:val="00CA0050"/>
    <w:rsid w:val="00CA3426"/>
    <w:rsid w:val="00CB424A"/>
    <w:rsid w:val="00CC2C74"/>
    <w:rsid w:val="00CC46EA"/>
    <w:rsid w:val="00CF410F"/>
    <w:rsid w:val="00D02E2D"/>
    <w:rsid w:val="00D10523"/>
    <w:rsid w:val="00D144EB"/>
    <w:rsid w:val="00D42DD4"/>
    <w:rsid w:val="00D81ED4"/>
    <w:rsid w:val="00D8624C"/>
    <w:rsid w:val="00D876A7"/>
    <w:rsid w:val="00D94A8D"/>
    <w:rsid w:val="00DC0A83"/>
    <w:rsid w:val="00DC6AF9"/>
    <w:rsid w:val="00DD0B05"/>
    <w:rsid w:val="00DD1F6D"/>
    <w:rsid w:val="00DE0416"/>
    <w:rsid w:val="00DE1CA6"/>
    <w:rsid w:val="00DE1CB5"/>
    <w:rsid w:val="00DF3C9C"/>
    <w:rsid w:val="00DF6F12"/>
    <w:rsid w:val="00E13F8A"/>
    <w:rsid w:val="00E152B4"/>
    <w:rsid w:val="00E20255"/>
    <w:rsid w:val="00E2118A"/>
    <w:rsid w:val="00E309F6"/>
    <w:rsid w:val="00E30C1A"/>
    <w:rsid w:val="00E33701"/>
    <w:rsid w:val="00E44009"/>
    <w:rsid w:val="00E557A3"/>
    <w:rsid w:val="00E620D7"/>
    <w:rsid w:val="00E77812"/>
    <w:rsid w:val="00E8022F"/>
    <w:rsid w:val="00E8410C"/>
    <w:rsid w:val="00E874B4"/>
    <w:rsid w:val="00EC7271"/>
    <w:rsid w:val="00ED6716"/>
    <w:rsid w:val="00EF4473"/>
    <w:rsid w:val="00F02369"/>
    <w:rsid w:val="00F34F15"/>
    <w:rsid w:val="00F43D07"/>
    <w:rsid w:val="00F47CE8"/>
    <w:rsid w:val="00F52524"/>
    <w:rsid w:val="00F53287"/>
    <w:rsid w:val="00F55173"/>
    <w:rsid w:val="00F8455E"/>
    <w:rsid w:val="00F8516D"/>
    <w:rsid w:val="00F9694D"/>
    <w:rsid w:val="00FD5F4B"/>
    <w:rsid w:val="00FD6E6D"/>
    <w:rsid w:val="00FE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89BFF"/>
  <w15:docId w15:val="{D84523D3-E17F-497B-BA97-B181B432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A1"/>
    <w:pPr>
      <w:tabs>
        <w:tab w:val="left" w:pos="360"/>
        <w:tab w:val="left" w:pos="720"/>
        <w:tab w:val="left" w:pos="990"/>
      </w:tabs>
      <w:spacing w:before="120" w:after="0" w:line="360" w:lineRule="auto"/>
      <w:ind w:left="360"/>
    </w:pPr>
    <w:rPr>
      <w:rFonts w:ascii="Arial" w:hAnsi="Arial"/>
      <w:sz w:val="20"/>
      <w:szCs w:val="20"/>
    </w:rPr>
  </w:style>
  <w:style w:type="paragraph" w:styleId="Heading1">
    <w:name w:val="heading 1"/>
    <w:basedOn w:val="Normal"/>
    <w:next w:val="Normal"/>
    <w:link w:val="Heading1Char"/>
    <w:qFormat/>
    <w:rsid w:val="00840BA1"/>
    <w:pPr>
      <w:keepNext/>
      <w:numPr>
        <w:numId w:val="18"/>
      </w:numPr>
      <w:outlineLvl w:val="0"/>
    </w:pPr>
    <w:rPr>
      <w:rFonts w:eastAsia="Times New Roman" w:cs="Times New Roman"/>
      <w:b/>
      <w:sz w:val="24"/>
    </w:rPr>
  </w:style>
  <w:style w:type="paragraph" w:styleId="Heading2">
    <w:name w:val="heading 2"/>
    <w:basedOn w:val="Normal"/>
    <w:next w:val="Normal"/>
    <w:link w:val="Heading2Char"/>
    <w:unhideWhenUsed/>
    <w:qFormat/>
    <w:rsid w:val="00840BA1"/>
    <w:pPr>
      <w:keepNext/>
      <w:keepLines/>
      <w:numPr>
        <w:ilvl w:val="1"/>
        <w:numId w:val="18"/>
      </w:numPr>
      <w:spacing w:before="200"/>
      <w:outlineLvl w:val="1"/>
    </w:pPr>
    <w:rPr>
      <w:rFonts w:eastAsiaTheme="majorEastAsia" w:cstheme="majorBidi"/>
      <w:bCs/>
      <w:szCs w:val="26"/>
    </w:rPr>
  </w:style>
  <w:style w:type="paragraph" w:styleId="Heading3">
    <w:name w:val="heading 3"/>
    <w:basedOn w:val="Normal"/>
    <w:next w:val="Normal"/>
    <w:link w:val="Heading3Char"/>
    <w:unhideWhenUsed/>
    <w:qFormat/>
    <w:rsid w:val="00840BA1"/>
    <w:pPr>
      <w:keepNext/>
      <w:keepLines/>
      <w:numPr>
        <w:ilvl w:val="2"/>
        <w:numId w:val="18"/>
      </w:numPr>
      <w:spacing w:before="200"/>
      <w:outlineLvl w:val="2"/>
    </w:pPr>
    <w:rPr>
      <w:rFonts w:eastAsiaTheme="majorEastAsia" w:cstheme="majorBidi"/>
      <w:bCs/>
    </w:rPr>
  </w:style>
  <w:style w:type="paragraph" w:styleId="Heading4">
    <w:name w:val="heading 4"/>
    <w:basedOn w:val="Normal"/>
    <w:next w:val="Normal"/>
    <w:link w:val="Heading4Char"/>
    <w:unhideWhenUsed/>
    <w:qFormat/>
    <w:rsid w:val="00840BA1"/>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0BA1"/>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0BA1"/>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0BA1"/>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0BA1"/>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40BA1"/>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s">
    <w:name w:val="End Notes"/>
    <w:basedOn w:val="EndnoteText"/>
    <w:link w:val="EndNotesChar"/>
    <w:qFormat/>
    <w:rsid w:val="00840BA1"/>
    <w:pPr>
      <w:tabs>
        <w:tab w:val="left" w:pos="284"/>
      </w:tabs>
      <w:spacing w:line="360" w:lineRule="auto"/>
    </w:pPr>
    <w:rPr>
      <w:rFonts w:eastAsia="Times New Roman" w:cs="Times New Roman"/>
      <w:color w:val="000000" w:themeColor="text1"/>
      <w:sz w:val="18"/>
    </w:rPr>
  </w:style>
  <w:style w:type="character" w:customStyle="1" w:styleId="EndNotesChar">
    <w:name w:val="End Notes Char"/>
    <w:basedOn w:val="EndnoteTextChar"/>
    <w:link w:val="EndNotes"/>
    <w:rsid w:val="00840BA1"/>
    <w:rPr>
      <w:rFonts w:ascii="Arial" w:eastAsia="Times New Roman" w:hAnsi="Arial" w:cs="Times New Roman"/>
      <w:color w:val="000000" w:themeColor="text1"/>
      <w:sz w:val="18"/>
      <w:szCs w:val="20"/>
    </w:rPr>
  </w:style>
  <w:style w:type="paragraph" w:styleId="EndnoteText">
    <w:name w:val="endnote text"/>
    <w:basedOn w:val="Normal"/>
    <w:link w:val="EndnoteTextChar"/>
    <w:uiPriority w:val="99"/>
    <w:semiHidden/>
    <w:unhideWhenUsed/>
    <w:rsid w:val="00840BA1"/>
    <w:pPr>
      <w:spacing w:line="240" w:lineRule="auto"/>
    </w:pPr>
  </w:style>
  <w:style w:type="character" w:customStyle="1" w:styleId="EndnoteTextChar">
    <w:name w:val="Endnote Text Char"/>
    <w:basedOn w:val="DefaultParagraphFont"/>
    <w:link w:val="EndnoteText"/>
    <w:uiPriority w:val="99"/>
    <w:semiHidden/>
    <w:rsid w:val="00840BA1"/>
    <w:rPr>
      <w:sz w:val="20"/>
      <w:szCs w:val="20"/>
    </w:rPr>
  </w:style>
  <w:style w:type="character" w:customStyle="1" w:styleId="Heading1Char">
    <w:name w:val="Heading 1 Char"/>
    <w:basedOn w:val="DefaultParagraphFont"/>
    <w:link w:val="Heading1"/>
    <w:rsid w:val="00840BA1"/>
    <w:rPr>
      <w:rFonts w:ascii="Arial" w:eastAsia="Times New Roman" w:hAnsi="Arial" w:cs="Times New Roman"/>
      <w:b/>
      <w:sz w:val="24"/>
      <w:szCs w:val="20"/>
    </w:rPr>
  </w:style>
  <w:style w:type="character" w:customStyle="1" w:styleId="Heading2Char">
    <w:name w:val="Heading 2 Char"/>
    <w:basedOn w:val="DefaultParagraphFont"/>
    <w:link w:val="Heading2"/>
    <w:rsid w:val="00840BA1"/>
    <w:rPr>
      <w:rFonts w:ascii="Arial" w:eastAsiaTheme="majorEastAsia" w:hAnsi="Arial" w:cstheme="majorBidi"/>
      <w:bCs/>
      <w:sz w:val="20"/>
      <w:szCs w:val="26"/>
    </w:rPr>
  </w:style>
  <w:style w:type="character" w:customStyle="1" w:styleId="Heading3Char">
    <w:name w:val="Heading 3 Char"/>
    <w:basedOn w:val="DefaultParagraphFont"/>
    <w:link w:val="Heading3"/>
    <w:rsid w:val="00840BA1"/>
    <w:rPr>
      <w:rFonts w:ascii="Arial" w:eastAsiaTheme="majorEastAsia" w:hAnsi="Arial" w:cstheme="majorBidi"/>
      <w:bCs/>
      <w:sz w:val="20"/>
      <w:szCs w:val="20"/>
    </w:rPr>
  </w:style>
  <w:style w:type="character" w:customStyle="1" w:styleId="Heading4Char">
    <w:name w:val="Heading 4 Char"/>
    <w:basedOn w:val="DefaultParagraphFont"/>
    <w:link w:val="Heading4"/>
    <w:rsid w:val="00840BA1"/>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840BA1"/>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840BA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840BA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840B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0BA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840BA1"/>
    <w:pPr>
      <w:tabs>
        <w:tab w:val="clear" w:pos="360"/>
        <w:tab w:val="clear" w:pos="720"/>
        <w:tab w:val="clear" w:pos="990"/>
        <w:tab w:val="left" w:pos="400"/>
        <w:tab w:val="right" w:leader="dot" w:pos="9019"/>
      </w:tabs>
      <w:ind w:left="0"/>
    </w:pPr>
    <w:rPr>
      <w:rFonts w:eastAsia="Times New Roman" w:cs="Times New Roman"/>
      <w:sz w:val="22"/>
    </w:rPr>
  </w:style>
  <w:style w:type="paragraph" w:styleId="TOC2">
    <w:name w:val="toc 2"/>
    <w:basedOn w:val="Normal"/>
    <w:next w:val="Normal"/>
    <w:autoRedefine/>
    <w:uiPriority w:val="39"/>
    <w:unhideWhenUsed/>
    <w:qFormat/>
    <w:rsid w:val="00840BA1"/>
    <w:pPr>
      <w:tabs>
        <w:tab w:val="clear" w:pos="360"/>
        <w:tab w:val="clear" w:pos="720"/>
        <w:tab w:val="clear" w:pos="990"/>
        <w:tab w:val="left" w:pos="880"/>
        <w:tab w:val="right" w:leader="dot" w:pos="9019"/>
      </w:tabs>
      <w:spacing w:before="0" w:after="120" w:line="240" w:lineRule="auto"/>
      <w:ind w:left="0"/>
    </w:pPr>
    <w:rPr>
      <w:rFonts w:eastAsia="Times New Roman" w:cs="Times New Roman"/>
      <w:noProof/>
    </w:rPr>
  </w:style>
  <w:style w:type="paragraph" w:styleId="TOC3">
    <w:name w:val="toc 3"/>
    <w:basedOn w:val="Normal"/>
    <w:next w:val="Normal"/>
    <w:autoRedefine/>
    <w:uiPriority w:val="39"/>
    <w:unhideWhenUsed/>
    <w:qFormat/>
    <w:rsid w:val="00840BA1"/>
    <w:pPr>
      <w:tabs>
        <w:tab w:val="clear" w:pos="360"/>
        <w:tab w:val="clear" w:pos="720"/>
        <w:tab w:val="clear" w:pos="990"/>
      </w:tabs>
      <w:spacing w:after="100"/>
      <w:ind w:left="400"/>
    </w:pPr>
    <w:rPr>
      <w:rFonts w:eastAsia="Times New Roman" w:cs="Times New Roman"/>
    </w:rPr>
  </w:style>
  <w:style w:type="paragraph" w:styleId="Title">
    <w:name w:val="Title"/>
    <w:basedOn w:val="Normal"/>
    <w:next w:val="Normal"/>
    <w:link w:val="TitleChar"/>
    <w:qFormat/>
    <w:rsid w:val="00840BA1"/>
    <w:pPr>
      <w:pageBreakBefore/>
      <w:pBdr>
        <w:bottom w:val="single" w:sz="8" w:space="4" w:color="4F81BD" w:themeColor="accent1"/>
      </w:pBdr>
      <w:spacing w:before="0" w:after="300" w:line="240" w:lineRule="auto"/>
      <w:contextualSpacing/>
    </w:pPr>
    <w:rPr>
      <w:rFonts w:eastAsiaTheme="majorEastAsia" w:cstheme="majorBidi"/>
      <w:spacing w:val="5"/>
      <w:kern w:val="28"/>
      <w:sz w:val="44"/>
      <w:szCs w:val="52"/>
    </w:rPr>
  </w:style>
  <w:style w:type="character" w:customStyle="1" w:styleId="TitleChar">
    <w:name w:val="Title Char"/>
    <w:basedOn w:val="DefaultParagraphFont"/>
    <w:link w:val="Title"/>
    <w:rsid w:val="00840BA1"/>
    <w:rPr>
      <w:rFonts w:ascii="Arial" w:eastAsiaTheme="majorEastAsia" w:hAnsi="Arial" w:cstheme="majorBidi"/>
      <w:spacing w:val="5"/>
      <w:kern w:val="28"/>
      <w:sz w:val="44"/>
      <w:szCs w:val="52"/>
    </w:rPr>
  </w:style>
  <w:style w:type="paragraph" w:styleId="ListParagraph">
    <w:name w:val="List Paragraph"/>
    <w:basedOn w:val="Normal"/>
    <w:qFormat/>
    <w:rsid w:val="00840BA1"/>
    <w:pPr>
      <w:ind w:left="720"/>
    </w:pPr>
    <w:rPr>
      <w:rFonts w:eastAsia="Times New Roman" w:cs="Times New Roman"/>
    </w:rPr>
  </w:style>
  <w:style w:type="paragraph" w:styleId="TOCHeading">
    <w:name w:val="TOC Heading"/>
    <w:basedOn w:val="Heading1"/>
    <w:next w:val="Normal"/>
    <w:uiPriority w:val="39"/>
    <w:semiHidden/>
    <w:unhideWhenUsed/>
    <w:qFormat/>
    <w:rsid w:val="00840BA1"/>
    <w:pPr>
      <w:keepLines/>
      <w:numPr>
        <w:numId w:val="0"/>
      </w:numPr>
      <w:tabs>
        <w:tab w:val="clear" w:pos="720"/>
        <w:tab w:val="clear" w:pos="990"/>
      </w:tab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Header">
    <w:name w:val="header"/>
    <w:basedOn w:val="Normal"/>
    <w:link w:val="HeaderChar"/>
    <w:uiPriority w:val="99"/>
    <w:unhideWhenUsed/>
    <w:rsid w:val="008E705E"/>
    <w:pPr>
      <w:tabs>
        <w:tab w:val="clear" w:pos="360"/>
        <w:tab w:val="clear" w:pos="720"/>
        <w:tab w:val="clear" w:pos="990"/>
        <w:tab w:val="center" w:pos="4513"/>
        <w:tab w:val="right" w:pos="9026"/>
      </w:tabs>
      <w:spacing w:before="0" w:line="240" w:lineRule="auto"/>
    </w:pPr>
  </w:style>
  <w:style w:type="character" w:customStyle="1" w:styleId="HeaderChar">
    <w:name w:val="Header Char"/>
    <w:basedOn w:val="DefaultParagraphFont"/>
    <w:link w:val="Header"/>
    <w:uiPriority w:val="99"/>
    <w:rsid w:val="008E705E"/>
    <w:rPr>
      <w:rFonts w:ascii="Arial" w:hAnsi="Arial"/>
      <w:sz w:val="20"/>
      <w:szCs w:val="20"/>
    </w:rPr>
  </w:style>
  <w:style w:type="paragraph" w:styleId="Footer">
    <w:name w:val="footer"/>
    <w:basedOn w:val="Normal"/>
    <w:link w:val="FooterChar"/>
    <w:uiPriority w:val="99"/>
    <w:unhideWhenUsed/>
    <w:rsid w:val="008E705E"/>
    <w:pPr>
      <w:tabs>
        <w:tab w:val="clear" w:pos="360"/>
        <w:tab w:val="clear" w:pos="720"/>
        <w:tab w:val="clear" w:pos="990"/>
        <w:tab w:val="center" w:pos="4513"/>
        <w:tab w:val="right" w:pos="9026"/>
      </w:tabs>
      <w:spacing w:before="0" w:line="240" w:lineRule="auto"/>
    </w:pPr>
  </w:style>
  <w:style w:type="character" w:customStyle="1" w:styleId="FooterChar">
    <w:name w:val="Footer Char"/>
    <w:basedOn w:val="DefaultParagraphFont"/>
    <w:link w:val="Footer"/>
    <w:uiPriority w:val="99"/>
    <w:rsid w:val="008E705E"/>
    <w:rPr>
      <w:rFonts w:ascii="Arial" w:hAnsi="Arial"/>
      <w:sz w:val="20"/>
      <w:szCs w:val="20"/>
    </w:rPr>
  </w:style>
  <w:style w:type="table" w:styleId="TableGrid">
    <w:name w:val="Table Grid"/>
    <w:basedOn w:val="TableNormal"/>
    <w:uiPriority w:val="59"/>
    <w:rsid w:val="005F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30EA-E87B-44A4-A098-B1A88BE2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Rapinet</dc:creator>
  <cp:lastModifiedBy>Ken Gerber</cp:lastModifiedBy>
  <cp:revision>3</cp:revision>
  <cp:lastPrinted>2018-05-15T08:56:00Z</cp:lastPrinted>
  <dcterms:created xsi:type="dcterms:W3CDTF">2018-05-20T06:01:00Z</dcterms:created>
  <dcterms:modified xsi:type="dcterms:W3CDTF">2018-05-20T06:09:00Z</dcterms:modified>
</cp:coreProperties>
</file>